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761BE" w14:textId="09695C54" w:rsidR="000305ED" w:rsidRPr="00F414DC" w:rsidRDefault="000305ED" w:rsidP="000305ED">
      <w:pPr>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414DC">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DOCTONEWS </w:t>
      </w:r>
      <w:r>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septembre </w:t>
      </w:r>
      <w:r w:rsidRPr="00F414DC">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14:paraId="50323A40" w14:textId="299D9662" w:rsidR="00BA5A54" w:rsidRDefault="000305ED" w:rsidP="000305ED">
      <w:pPr>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414DC">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La Newsletter du Conseil Départemental du Val d’Oise de l’Ordre des Médecins</w:t>
      </w:r>
    </w:p>
    <w:p w14:paraId="1F64C6EB" w14:textId="77777777" w:rsidR="004229B0" w:rsidRDefault="004229B0" w:rsidP="000305ED">
      <w:pPr>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59D9B3D" w14:textId="77777777" w:rsidR="00FE5060" w:rsidRPr="0019436A" w:rsidRDefault="00FE5060" w:rsidP="00FE5060">
      <w:pPr>
        <w:rPr>
          <w:b/>
          <w:bCs/>
        </w:rPr>
      </w:pPr>
      <w:proofErr w:type="gramStart"/>
      <w:r w:rsidRPr="0019436A">
        <w:rPr>
          <w:b/>
          <w:bCs/>
        </w:rPr>
        <w:t>ACTU  -</w:t>
      </w:r>
      <w:proofErr w:type="gramEnd"/>
      <w:r w:rsidRPr="0019436A">
        <w:rPr>
          <w:b/>
          <w:bCs/>
        </w:rPr>
        <w:t xml:space="preserve"> Docteurs juniors : un nouveau statut à encadrer</w:t>
      </w:r>
    </w:p>
    <w:p w14:paraId="0A592B23" w14:textId="77777777" w:rsidR="00FE5060" w:rsidRPr="00DC2E35" w:rsidRDefault="00FE5060" w:rsidP="00FE5060">
      <w:r w:rsidRPr="00DC2E35">
        <w:t>En novembre 2026, les premiers internes de médecine générale entreront en 4e année de DES (diplôme d’études spécialisées) sous le statut de « docteur junior ». Particularité de cette nouvelle phase : contrairement aux autres spécialités, elle se déroulera principalement en ambulatoire, durant des stages de six mois. L’objectif est de renforcer progressivement l’autonomie des futurs généralistes et de favoriser leur installation dans les territoires.</w:t>
      </w:r>
    </w:p>
    <w:p w14:paraId="19D88521" w14:textId="77777777" w:rsidR="00FE5060" w:rsidRPr="0019436A" w:rsidRDefault="00FE5060" w:rsidP="00FE5060">
      <w:pPr>
        <w:rPr>
          <w:b/>
          <w:bCs/>
        </w:rPr>
      </w:pPr>
      <w:r w:rsidRPr="0019436A">
        <w:rPr>
          <w:b/>
          <w:bCs/>
        </w:rPr>
        <w:t>Un exercice en autonomie supervisée</w:t>
      </w:r>
    </w:p>
    <w:p w14:paraId="22780B4C" w14:textId="403C966D" w:rsidR="00FE5060" w:rsidRPr="00DC2E35" w:rsidRDefault="00FE5060" w:rsidP="00FE5060">
      <w:r w:rsidRPr="00DC2E35">
        <w:t xml:space="preserve">Le docteur junior disposera </w:t>
      </w:r>
      <w:r w:rsidRPr="00A1083D">
        <w:t xml:space="preserve">de </w:t>
      </w:r>
      <w:r w:rsidR="00AF0BAE" w:rsidRPr="00A1083D">
        <w:t xml:space="preserve">sa </w:t>
      </w:r>
      <w:r w:rsidRPr="00DC2E35">
        <w:t>propre CPS fonctionnelle et pourra recevoir des patients en son nom, tout en restant sous la responsabilité de son maître de stage universitaire (MSU), avec un suivi régulier de son activité. Ni remplaçant ni médecin pleinement installé, il exercera donc sous un statut hybride. La plateforme SIIMOP (Système d’information des internes en médecine, odontologie et pharmacie) doit permettre l’appariement entre internes et terrains de stage, en fonction notamment des vœux et du classement des étudiants. Les MSU, déjà très sollicités, constituent toutefois une ressource encore insuffisante notamment dans le Val d’Oise.</w:t>
      </w:r>
    </w:p>
    <w:p w14:paraId="725620F2" w14:textId="77777777" w:rsidR="00FE5060" w:rsidRPr="0019436A" w:rsidRDefault="00FE5060" w:rsidP="00FE5060">
      <w:pPr>
        <w:rPr>
          <w:b/>
          <w:bCs/>
        </w:rPr>
      </w:pPr>
      <w:r w:rsidRPr="0019436A">
        <w:rPr>
          <w:b/>
          <w:bCs/>
        </w:rPr>
        <w:t>Un nouveau rôle pour l’Ordre</w:t>
      </w:r>
    </w:p>
    <w:p w14:paraId="6D3AE8E9" w14:textId="77777777" w:rsidR="00FE5060" w:rsidRPr="00DC2E35" w:rsidRDefault="00FE5060" w:rsidP="00FE5060">
      <w:r w:rsidRPr="00DC2E35">
        <w:t>Cette réforme implique directement les conseils départementaux de l’Ordre des médecins (CDOM). Les docteurs juniors devront être identifiés et inscrits dans leur département d’exercice, selon des modalités spécifiques puisqu’ils pourront exercer avant même d’avoir soutenu leur thèse. Les conseils devront ainsi gérer une nouvelle catégorie de praticiens et veiller à la sécurisation de leur exercice en autonomie supervisée.</w:t>
      </w:r>
    </w:p>
    <w:p w14:paraId="08061C5F" w14:textId="77777777" w:rsidR="00FE5060" w:rsidRPr="00DC2E35" w:rsidRDefault="00FE5060" w:rsidP="00FE5060">
      <w:r w:rsidRPr="00DC2E35">
        <w:t>Plusieurs points pratiques restent à préciser : activation de la carte CPS (carte de professionnel de santé) sous ce nouveau statut, accès à la facturation, articulation des responsabilités entre docteur junior et MSU ou encore adaptation des logiciels médicaux</w:t>
      </w:r>
      <w:r>
        <w:t xml:space="preserve"> à ce statut « entre deux »</w:t>
      </w:r>
      <w:r w:rsidRPr="00DC2E35">
        <w:t xml:space="preserve">. La rémunération des maîtres de stage, qui devrait être mensuelle, reste à </w:t>
      </w:r>
      <w:r>
        <w:t xml:space="preserve">être </w:t>
      </w:r>
      <w:r w:rsidRPr="00DC2E35">
        <w:t xml:space="preserve">clarifiée </w:t>
      </w:r>
      <w:r>
        <w:t>par les</w:t>
      </w:r>
      <w:r w:rsidRPr="00DC2E35">
        <w:t xml:space="preserve"> facultés de médecine. </w:t>
      </w:r>
    </w:p>
    <w:p w14:paraId="6D7B2760" w14:textId="77777777" w:rsidR="00FE5060" w:rsidRPr="009040F7" w:rsidRDefault="00FE5060" w:rsidP="00FE5060">
      <w:r w:rsidRPr="009040F7">
        <w:t>À quelques semaines de l’entrée en fonction des premiers docteurs juniors, prévue début novembre, l’enjeu pour l’Ordre sera donc de rendre opérationnel ce statut inédit et d’accompagner médecins et internes dans sa mise en œuvre.</w:t>
      </w:r>
    </w:p>
    <w:p w14:paraId="5EDE0BA8" w14:textId="28625F8A" w:rsidR="004229B0" w:rsidRDefault="00FE5060" w:rsidP="000305ED">
      <w:pPr>
        <w:rPr>
          <w:b/>
          <w:bCs/>
        </w:rPr>
      </w:pPr>
      <w:r w:rsidRPr="00B05828">
        <w:rPr>
          <w:b/>
          <w:bCs/>
        </w:rPr>
        <w:t>Docteur David Jennah</w:t>
      </w:r>
    </w:p>
    <w:p w14:paraId="221B1A0F" w14:textId="77777777" w:rsidR="00143DFD" w:rsidRPr="00143DFD" w:rsidRDefault="00143DFD" w:rsidP="000305ED">
      <w:pPr>
        <w:rPr>
          <w:b/>
          <w:bCs/>
        </w:rPr>
      </w:pPr>
    </w:p>
    <w:p w14:paraId="711628F9" w14:textId="1F1E8BB6" w:rsidR="004229B0" w:rsidRPr="009E0CFC" w:rsidRDefault="004229B0" w:rsidP="004229B0">
      <w:r>
        <w:rPr>
          <w:b/>
          <w:bCs/>
        </w:rPr>
        <w:t>CODE DE DEONTOLOGIE</w:t>
      </w:r>
      <w:r w:rsidRPr="009E0CFC">
        <w:rPr>
          <w:b/>
          <w:bCs/>
        </w:rPr>
        <w:t xml:space="preserve"> : </w:t>
      </w:r>
      <w:r w:rsidR="00E53A02">
        <w:rPr>
          <w:b/>
          <w:bCs/>
        </w:rPr>
        <w:t xml:space="preserve">les </w:t>
      </w:r>
      <w:r w:rsidRPr="009E0CFC">
        <w:rPr>
          <w:b/>
          <w:bCs/>
        </w:rPr>
        <w:t>six changements à retenir</w:t>
      </w:r>
    </w:p>
    <w:p w14:paraId="7A2ED1D6" w14:textId="77777777" w:rsidR="004229B0" w:rsidRPr="009E0CFC" w:rsidRDefault="004229B0" w:rsidP="004229B0">
      <w:r w:rsidRPr="009E0CFC">
        <w:t xml:space="preserve">Publié le 29 juillet 2026, le décret n° 2026-691 procède à une importante actualisation du Code de déontologie médicale. Objectif : l’adapter aux évolutions juridiques, sociétales et technologiques de l’exercice médical. </w:t>
      </w:r>
    </w:p>
    <w:p w14:paraId="713508D5" w14:textId="77777777" w:rsidR="004229B0" w:rsidRPr="009E0CFC" w:rsidRDefault="004229B0" w:rsidP="004229B0">
      <w:r w:rsidRPr="009E0CFC">
        <w:rPr>
          <w:b/>
          <w:bCs/>
        </w:rPr>
        <w:t>1. Un Code applicable à davantage de praticiens – art. R. 4127-1</w:t>
      </w:r>
      <w:r w:rsidRPr="009E0CFC">
        <w:br/>
        <w:t xml:space="preserve">Les règles déontologiques s’imposent désormais explicitement aux docteurs juniors, aux </w:t>
      </w:r>
      <w:r w:rsidRPr="009E0CFC">
        <w:lastRenderedPageBreak/>
        <w:t>étudiants exerçant comme remplaçants ou adjoints, mais aussi aux sociétés d’exercice libéral (SEL) et sociétés civiles professionnelles (SCP) de médecins inscrites au Tableau. Lors de son inscription, tout médecin doit également affirmer devant le conseil départemental avoir pris connaissance du Code et s’engager à le respecter.</w:t>
      </w:r>
    </w:p>
    <w:p w14:paraId="1AA0CA98" w14:textId="77777777" w:rsidR="004229B0" w:rsidRPr="009E0CFC" w:rsidRDefault="004229B0" w:rsidP="004229B0">
      <w:r w:rsidRPr="009E0CFC">
        <w:rPr>
          <w:b/>
          <w:bCs/>
        </w:rPr>
        <w:t>2. Une obligation renforcée face aux violences – art. R. 4127-44</w:t>
      </w:r>
      <w:r w:rsidRPr="009E0CFC">
        <w:br/>
        <w:t>Lorsqu’un médecin présume qu’une personne est victime de sévices, privations ou violences physiques, sexuelles ou psychiques, il a désormais l’obligation d’agir par tout moyen. Selon les circonstances, il peut notamment effectuer un signalement au procureur de la République ou aux cellules compétentes. Le consentement de la victime reste requis dans les cas prévus par la loi, avec des exceptions notamment pour les mineurs et certaines personnes vulnérables.</w:t>
      </w:r>
    </w:p>
    <w:p w14:paraId="2588DC66" w14:textId="77777777" w:rsidR="004229B0" w:rsidRPr="009E0CFC" w:rsidRDefault="004229B0" w:rsidP="004229B0">
      <w:r w:rsidRPr="009E0CFC">
        <w:rPr>
          <w:b/>
          <w:bCs/>
        </w:rPr>
        <w:t>3. Numérique et IA entrent dans le Code – art. R. 4127-13-1 et R. 4127-73</w:t>
      </w:r>
      <w:r w:rsidRPr="009E0CFC">
        <w:br/>
        <w:t>Le Code encadre désormais expressément l’utilisation des outils numériques, de l’intelligence artificielle et des innovations technologiques. Le médecin doit prendre les précautions nécessaires pour garantir qualité et sécurité des soins ainsi que sécurité et confidentialité des données de santé, quel qu’en soit le support.</w:t>
      </w:r>
    </w:p>
    <w:p w14:paraId="0E7BEADB" w14:textId="77777777" w:rsidR="004229B0" w:rsidRPr="009E0CFC" w:rsidRDefault="004229B0" w:rsidP="004229B0">
      <w:r w:rsidRPr="009E0CFC">
        <w:rPr>
          <w:b/>
          <w:bCs/>
        </w:rPr>
        <w:t>4. Un dossier médical obligatoire en libéral – art. R. 4127-45</w:t>
      </w:r>
      <w:r w:rsidRPr="009E0CFC">
        <w:br/>
        <w:t xml:space="preserve">Tout médecin doit désormais tenir un dossier pour chaque patient. Sa durée de conservation est alignée sur celle des établissements de santé </w:t>
      </w:r>
      <w:r w:rsidRPr="00D902B1">
        <w:t>: 20 ans à compter de la dernière consultation</w:t>
      </w:r>
      <w:r w:rsidRPr="009E0CFC">
        <w:t>. Pour un mineur, si ce délai s’achève avant ses 28 ans, le dossier est conservé jusqu’à son 28e anniversaire. En cas de décès moins de dix ans après la dernière consultation, il est conservé dix ans à compter du décès.</w:t>
      </w:r>
    </w:p>
    <w:p w14:paraId="42ED9712" w14:textId="77777777" w:rsidR="004229B0" w:rsidRPr="009E0CFC" w:rsidRDefault="004229B0" w:rsidP="004229B0">
      <w:r w:rsidRPr="009E0CFC">
        <w:rPr>
          <w:b/>
          <w:bCs/>
        </w:rPr>
        <w:t>5. Le maintien des compétences renforcé – art. R. 4127-11</w:t>
      </w:r>
      <w:r w:rsidRPr="009E0CFC">
        <w:br/>
        <w:t>Le Code inscrit explicitement l’obligation pour le médecin d’entretenir et perfectionner ses connaissances, compétences et pratiques tout au long de son exercice. Cette exigence s’articule notamment avec le développement professionnel continu (DPC) et la certification périodique, dont le respect relève du suivi ordinal.</w:t>
      </w:r>
    </w:p>
    <w:p w14:paraId="2FC95A44" w14:textId="77777777" w:rsidR="004229B0" w:rsidRDefault="004229B0" w:rsidP="004229B0">
      <w:r w:rsidRPr="009E0CFC">
        <w:rPr>
          <w:b/>
          <w:bCs/>
        </w:rPr>
        <w:t>6. Remplacement : installation facilitée – art. R. 4127-86</w:t>
      </w:r>
      <w:r w:rsidRPr="009E0CFC">
        <w:br/>
        <w:t xml:space="preserve">L’interdiction de s’installer à proximité après un remplacement de plus de 90 jours n’est plus automatique. Une éventuelle restriction doit désormais être prévue par une </w:t>
      </w:r>
      <w:r w:rsidRPr="00C04DE6">
        <w:t>clause de non-réinstallation inscrite au contrat</w:t>
      </w:r>
      <w:r w:rsidRPr="009E0CFC">
        <w:t>. Cette évolution vise à lever un frein à l’installation des médecins, notamment dans les territoires qui en manquent.</w:t>
      </w:r>
    </w:p>
    <w:p w14:paraId="5A98BC8A" w14:textId="77777777" w:rsidR="004229B0" w:rsidRDefault="004229B0" w:rsidP="004229B0">
      <w:pPr>
        <w:rPr>
          <w:b/>
          <w:bCs/>
        </w:rPr>
      </w:pPr>
      <w:r w:rsidRPr="009B06DC">
        <w:rPr>
          <w:b/>
          <w:bCs/>
        </w:rPr>
        <w:t>Dr Patrice Comacle</w:t>
      </w:r>
    </w:p>
    <w:p w14:paraId="5A5C9366" w14:textId="77777777" w:rsidR="00AA2186" w:rsidRDefault="00AA2186" w:rsidP="004229B0">
      <w:pPr>
        <w:rPr>
          <w:b/>
          <w:bCs/>
        </w:rPr>
      </w:pPr>
    </w:p>
    <w:p w14:paraId="1DF394BF" w14:textId="77777777" w:rsidR="00773B0A" w:rsidRPr="00773B0A" w:rsidRDefault="00773B0A" w:rsidP="00773B0A">
      <w:pPr>
        <w:rPr>
          <w:b/>
          <w:bCs/>
          <w:i/>
          <w:iCs/>
        </w:rPr>
      </w:pPr>
      <w:proofErr w:type="gramStart"/>
      <w:r w:rsidRPr="00773B0A">
        <w:rPr>
          <w:b/>
          <w:bCs/>
          <w:i/>
          <w:iCs/>
          <w:lang w:val="en-US"/>
        </w:rPr>
        <w:t>PHARMACOPEE :</w:t>
      </w:r>
      <w:proofErr w:type="gramEnd"/>
      <w:r w:rsidRPr="00773B0A">
        <w:rPr>
          <w:b/>
          <w:bCs/>
          <w:i/>
          <w:iCs/>
          <w:lang w:val="en-US"/>
        </w:rPr>
        <w:t xml:space="preserve"> </w:t>
      </w:r>
      <w:proofErr w:type="spellStart"/>
      <w:r w:rsidRPr="00773B0A">
        <w:rPr>
          <w:b/>
          <w:bCs/>
          <w:i/>
          <w:iCs/>
          <w:lang w:val="en-US"/>
        </w:rPr>
        <w:t>Traitements</w:t>
      </w:r>
      <w:proofErr w:type="spellEnd"/>
      <w:r w:rsidRPr="00773B0A">
        <w:rPr>
          <w:b/>
          <w:bCs/>
          <w:i/>
          <w:iCs/>
          <w:lang w:val="en-US"/>
        </w:rPr>
        <w:t xml:space="preserve"> </w:t>
      </w:r>
      <w:proofErr w:type="spellStart"/>
      <w:r w:rsidRPr="00773B0A">
        <w:rPr>
          <w:b/>
          <w:bCs/>
          <w:i/>
          <w:iCs/>
          <w:lang w:val="en-US"/>
        </w:rPr>
        <w:t>contre</w:t>
      </w:r>
      <w:proofErr w:type="spellEnd"/>
      <w:r w:rsidRPr="00773B0A">
        <w:rPr>
          <w:b/>
          <w:bCs/>
          <w:i/>
          <w:iCs/>
          <w:lang w:val="en-US"/>
        </w:rPr>
        <w:t xml:space="preserve"> </w:t>
      </w:r>
      <w:proofErr w:type="spellStart"/>
      <w:r w:rsidRPr="00773B0A">
        <w:rPr>
          <w:b/>
          <w:bCs/>
          <w:i/>
          <w:iCs/>
          <w:lang w:val="en-US"/>
        </w:rPr>
        <w:t>l’obésité</w:t>
      </w:r>
      <w:proofErr w:type="spellEnd"/>
      <w:r w:rsidRPr="00773B0A">
        <w:rPr>
          <w:b/>
          <w:bCs/>
          <w:i/>
          <w:iCs/>
          <w:lang w:val="en-US"/>
        </w:rPr>
        <w:t xml:space="preserve"> </w:t>
      </w:r>
      <w:proofErr w:type="spellStart"/>
      <w:r w:rsidRPr="00773B0A">
        <w:rPr>
          <w:b/>
          <w:bCs/>
          <w:i/>
          <w:iCs/>
          <w:lang w:val="en-US"/>
        </w:rPr>
        <w:t>en</w:t>
      </w:r>
      <w:proofErr w:type="spellEnd"/>
      <w:r w:rsidRPr="00773B0A">
        <w:rPr>
          <w:b/>
          <w:bCs/>
          <w:i/>
          <w:iCs/>
          <w:lang w:val="en-US"/>
        </w:rPr>
        <w:t xml:space="preserve"> pratique</w:t>
      </w:r>
    </w:p>
    <w:p w14:paraId="249E2F24" w14:textId="423D0EC3" w:rsidR="00773B0A" w:rsidRPr="00773B0A" w:rsidRDefault="00773B0A" w:rsidP="00773B0A">
      <w:pPr>
        <w:rPr>
          <w:b/>
          <w:bCs/>
          <w:i/>
          <w:iCs/>
        </w:rPr>
      </w:pPr>
      <w:proofErr w:type="spellStart"/>
      <w:r w:rsidRPr="00773B0A">
        <w:rPr>
          <w:b/>
          <w:bCs/>
          <w:lang w:val="en-US"/>
        </w:rPr>
        <w:t>Depuis</w:t>
      </w:r>
      <w:proofErr w:type="spellEnd"/>
      <w:r w:rsidRPr="00773B0A">
        <w:rPr>
          <w:b/>
          <w:bCs/>
          <w:lang w:val="en-US"/>
        </w:rPr>
        <w:t xml:space="preserve"> </w:t>
      </w:r>
      <w:proofErr w:type="spellStart"/>
      <w:r w:rsidRPr="00773B0A">
        <w:rPr>
          <w:b/>
          <w:bCs/>
          <w:lang w:val="en-US"/>
        </w:rPr>
        <w:t>juin</w:t>
      </w:r>
      <w:proofErr w:type="spellEnd"/>
      <w:r w:rsidRPr="00773B0A">
        <w:rPr>
          <w:b/>
          <w:bCs/>
          <w:lang w:val="en-US"/>
        </w:rPr>
        <w:t xml:space="preserve"> 2026, Wegovy et </w:t>
      </w:r>
      <w:proofErr w:type="gramStart"/>
      <w:r w:rsidRPr="00773B0A">
        <w:rPr>
          <w:b/>
          <w:bCs/>
          <w:lang w:val="en-US"/>
        </w:rPr>
        <w:t>Mounjaro  </w:t>
      </w:r>
      <w:proofErr w:type="spellStart"/>
      <w:r w:rsidRPr="00773B0A">
        <w:rPr>
          <w:b/>
          <w:bCs/>
          <w:lang w:val="en-US"/>
        </w:rPr>
        <w:t>sont</w:t>
      </w:r>
      <w:proofErr w:type="spellEnd"/>
      <w:proofErr w:type="gramEnd"/>
      <w:r w:rsidRPr="00773B0A">
        <w:rPr>
          <w:b/>
          <w:bCs/>
          <w:lang w:val="en-US"/>
        </w:rPr>
        <w:t xml:space="preserve"> </w:t>
      </w:r>
      <w:proofErr w:type="spellStart"/>
      <w:r w:rsidRPr="00773B0A">
        <w:rPr>
          <w:b/>
          <w:bCs/>
          <w:lang w:val="en-US"/>
        </w:rPr>
        <w:t>remboursables</w:t>
      </w:r>
      <w:proofErr w:type="spellEnd"/>
      <w:r w:rsidRPr="00773B0A">
        <w:rPr>
          <w:b/>
          <w:bCs/>
          <w:lang w:val="en-US"/>
        </w:rPr>
        <w:t xml:space="preserve"> chez </w:t>
      </w:r>
      <w:proofErr w:type="spellStart"/>
      <w:r w:rsidRPr="00773B0A">
        <w:rPr>
          <w:b/>
          <w:bCs/>
          <w:lang w:val="en-US"/>
        </w:rPr>
        <w:t>certains</w:t>
      </w:r>
      <w:proofErr w:type="spellEnd"/>
      <w:r w:rsidRPr="00773B0A">
        <w:rPr>
          <w:b/>
          <w:bCs/>
          <w:lang w:val="en-US"/>
        </w:rPr>
        <w:t xml:space="preserve"> patients </w:t>
      </w:r>
      <w:proofErr w:type="spellStart"/>
      <w:r w:rsidRPr="00773B0A">
        <w:rPr>
          <w:b/>
          <w:bCs/>
          <w:lang w:val="en-US"/>
        </w:rPr>
        <w:t>atteints</w:t>
      </w:r>
      <w:proofErr w:type="spellEnd"/>
      <w:r w:rsidRPr="00773B0A">
        <w:rPr>
          <w:b/>
          <w:bCs/>
          <w:lang w:val="en-US"/>
        </w:rPr>
        <w:t xml:space="preserve"> </w:t>
      </w:r>
      <w:proofErr w:type="spellStart"/>
      <w:r w:rsidRPr="00773B0A">
        <w:rPr>
          <w:b/>
          <w:bCs/>
          <w:lang w:val="en-US"/>
        </w:rPr>
        <w:t>d’obésité</w:t>
      </w:r>
      <w:proofErr w:type="spellEnd"/>
      <w:r w:rsidRPr="00773B0A">
        <w:rPr>
          <w:b/>
          <w:bCs/>
          <w:lang w:val="en-US"/>
        </w:rPr>
        <w:t xml:space="preserve"> </w:t>
      </w:r>
      <w:proofErr w:type="spellStart"/>
      <w:r w:rsidRPr="00773B0A">
        <w:rPr>
          <w:b/>
          <w:bCs/>
          <w:lang w:val="en-US"/>
        </w:rPr>
        <w:t>sévère</w:t>
      </w:r>
      <w:proofErr w:type="spellEnd"/>
      <w:r w:rsidRPr="00773B0A">
        <w:rPr>
          <w:b/>
          <w:bCs/>
          <w:lang w:val="en-US"/>
        </w:rPr>
        <w:t xml:space="preserve">. Le Dr Catherine Campinos, </w:t>
      </w:r>
      <w:proofErr w:type="spellStart"/>
      <w:r w:rsidRPr="00773B0A">
        <w:rPr>
          <w:b/>
          <w:bCs/>
          <w:lang w:val="en-US"/>
        </w:rPr>
        <w:t>cheffe</w:t>
      </w:r>
      <w:proofErr w:type="spellEnd"/>
      <w:r w:rsidRPr="00773B0A">
        <w:rPr>
          <w:b/>
          <w:bCs/>
          <w:lang w:val="en-US"/>
        </w:rPr>
        <w:t xml:space="preserve"> du service </w:t>
      </w:r>
      <w:proofErr w:type="spellStart"/>
      <w:r w:rsidRPr="00773B0A">
        <w:rPr>
          <w:b/>
          <w:bCs/>
          <w:lang w:val="en-US"/>
        </w:rPr>
        <w:t>d’endocrinologie</w:t>
      </w:r>
      <w:proofErr w:type="spellEnd"/>
      <w:r w:rsidRPr="00773B0A">
        <w:rPr>
          <w:b/>
          <w:bCs/>
          <w:lang w:val="en-US"/>
        </w:rPr>
        <w:t xml:space="preserve"> à </w:t>
      </w:r>
      <w:proofErr w:type="spellStart"/>
      <w:r w:rsidRPr="00773B0A">
        <w:rPr>
          <w:b/>
          <w:bCs/>
          <w:lang w:val="en-US"/>
        </w:rPr>
        <w:t>l’hôpital</w:t>
      </w:r>
      <w:proofErr w:type="spellEnd"/>
      <w:r w:rsidRPr="00773B0A">
        <w:rPr>
          <w:b/>
          <w:bCs/>
          <w:lang w:val="en-US"/>
        </w:rPr>
        <w:t xml:space="preserve"> NOVO, fait le point sur les indications, la prescription et la surveillance.</w:t>
      </w:r>
    </w:p>
    <w:p w14:paraId="6383440E" w14:textId="77777777" w:rsidR="00773B0A" w:rsidRPr="00773B0A" w:rsidRDefault="00773B0A" w:rsidP="00773B0A">
      <w:pPr>
        <w:rPr>
          <w:b/>
          <w:bCs/>
          <w:i/>
          <w:iCs/>
        </w:rPr>
      </w:pPr>
      <w:r w:rsidRPr="00773B0A">
        <w:rPr>
          <w:b/>
          <w:bCs/>
          <w:lang w:val="en-US"/>
        </w:rPr>
        <w:t xml:space="preserve">1. Qui </w:t>
      </w:r>
      <w:proofErr w:type="spellStart"/>
      <w:r w:rsidRPr="00773B0A">
        <w:rPr>
          <w:b/>
          <w:bCs/>
          <w:lang w:val="en-US"/>
        </w:rPr>
        <w:t>peut</w:t>
      </w:r>
      <w:proofErr w:type="spellEnd"/>
      <w:r w:rsidRPr="00773B0A">
        <w:rPr>
          <w:b/>
          <w:bCs/>
          <w:lang w:val="en-US"/>
        </w:rPr>
        <w:t xml:space="preserve"> </w:t>
      </w:r>
      <w:proofErr w:type="spellStart"/>
      <w:r w:rsidRPr="00773B0A">
        <w:rPr>
          <w:b/>
          <w:bCs/>
          <w:lang w:val="en-US"/>
        </w:rPr>
        <w:t>en</w:t>
      </w:r>
      <w:proofErr w:type="spellEnd"/>
      <w:r w:rsidRPr="00773B0A">
        <w:rPr>
          <w:b/>
          <w:bCs/>
          <w:lang w:val="en-US"/>
        </w:rPr>
        <w:t xml:space="preserve"> </w:t>
      </w:r>
      <w:proofErr w:type="spellStart"/>
      <w:proofErr w:type="gramStart"/>
      <w:r w:rsidRPr="00773B0A">
        <w:rPr>
          <w:b/>
          <w:bCs/>
          <w:lang w:val="en-US"/>
        </w:rPr>
        <w:t>bénéficier</w:t>
      </w:r>
      <w:proofErr w:type="spellEnd"/>
      <w:r w:rsidRPr="00773B0A">
        <w:rPr>
          <w:b/>
          <w:bCs/>
          <w:lang w:val="en-US"/>
        </w:rPr>
        <w:t xml:space="preserve"> ?</w:t>
      </w:r>
      <w:proofErr w:type="gramEnd"/>
    </w:p>
    <w:p w14:paraId="064877AF" w14:textId="1F24F78B" w:rsidR="00773B0A" w:rsidRPr="001F0A94" w:rsidRDefault="00773B0A" w:rsidP="00773B0A">
      <w:r w:rsidRPr="001F0A94">
        <w:t xml:space="preserve">L’AMM autorise la prescription de </w:t>
      </w:r>
      <w:proofErr w:type="spellStart"/>
      <w:r w:rsidRPr="001F0A94">
        <w:t>Wegovy</w:t>
      </w:r>
      <w:proofErr w:type="spellEnd"/>
      <w:r w:rsidRPr="001F0A94">
        <w:t xml:space="preserve"> et de </w:t>
      </w:r>
      <w:proofErr w:type="spellStart"/>
      <w:r w:rsidRPr="001F0A94">
        <w:t>Mounjaro</w:t>
      </w:r>
      <w:proofErr w:type="spellEnd"/>
      <w:r w:rsidRPr="001F0A94">
        <w:t xml:space="preserve"> chez l’adulte avec un IMC ≥ 30 kg/m², ou ≥ 27 avec au moins une comorbidité liée au poids. Mais depuis le 15 juin 2026, le remboursement est plus restrictif : IMC initial ≥ 40 sans comorbidité, ou ≥ 35 avec une comorbidité, après échec d’une prise en charge nutritionnelle bien conduit</w:t>
      </w:r>
      <w:r w:rsidR="00772535">
        <w:t xml:space="preserve">e. </w:t>
      </w:r>
      <w:r w:rsidRPr="001F0A94">
        <w:t xml:space="preserve">Le généraliste </w:t>
      </w:r>
      <w:proofErr w:type="gramStart"/>
      <w:r w:rsidRPr="001F0A94">
        <w:lastRenderedPageBreak/>
        <w:t>garde</w:t>
      </w:r>
      <w:proofErr w:type="gramEnd"/>
      <w:r w:rsidRPr="001F0A94">
        <w:t xml:space="preserve"> un rôle essentiel : dépistage du surpoids, bilan des comorbidités, alimentation, activité physique et accompagnement comportemental. Ces traitements sont une deuxième intention, après échec des mesures nutritionnelles, qui doivent être poursuivies sous traitement.</w:t>
      </w:r>
    </w:p>
    <w:p w14:paraId="2524195E" w14:textId="77777777" w:rsidR="00773B0A" w:rsidRPr="00773B0A" w:rsidRDefault="00773B0A" w:rsidP="00773B0A">
      <w:pPr>
        <w:rPr>
          <w:b/>
          <w:bCs/>
        </w:rPr>
      </w:pPr>
      <w:r w:rsidRPr="00773B0A">
        <w:rPr>
          <w:b/>
          <w:bCs/>
        </w:rPr>
        <w:t>3. Qui peut prescrire et faire rembourser ?</w:t>
      </w:r>
    </w:p>
    <w:p w14:paraId="74EDE5BD" w14:textId="2CBD34D1" w:rsidR="00773B0A" w:rsidRPr="001F0A94" w:rsidRDefault="00773B0A" w:rsidP="00773B0A">
      <w:r w:rsidRPr="001F0A94">
        <w:t>Tout médecin peut prescrire dans le cadre de l’AMM. En revanche, la primo-prescription ouvrant droit au remboursement est réservée à certains professionnels impliqués dans les recours 2 et 3 : spécialistes en endocrinologie-diabétologie-nutrition, médecins compétents en nutrition ou chirurgiens bariatriques habilités exerçant notamment en CSO</w:t>
      </w:r>
      <w:r w:rsidR="0076653D">
        <w:t xml:space="preserve"> </w:t>
      </w:r>
      <w:r w:rsidR="0076653D" w:rsidRPr="00A1083D">
        <w:t>(</w:t>
      </w:r>
      <w:r w:rsidR="001836CF" w:rsidRPr="00A1083D">
        <w:t>Centres Spécialisés Obésité)</w:t>
      </w:r>
      <w:r w:rsidRPr="00A1083D">
        <w:t xml:space="preserve">, </w:t>
      </w:r>
      <w:r w:rsidRPr="001F0A94">
        <w:t>CHU ou SMR spécialisé, ainsi qu’à certains experts de l’obésité. Un endocrinologue exerçant hors de ces structures doit être formellement en lien avec un CSO. Le généraliste peut ensuite renouveler le traitement. Un formulaire d’accompagnement à la prescription doit être remis au patient et présenté au pharmacien avec l’ordonnance.</w:t>
      </w:r>
    </w:p>
    <w:p w14:paraId="65938582" w14:textId="77777777" w:rsidR="00773B0A" w:rsidRPr="00773B0A" w:rsidRDefault="00773B0A" w:rsidP="00773B0A">
      <w:pPr>
        <w:rPr>
          <w:b/>
          <w:bCs/>
        </w:rPr>
      </w:pPr>
      <w:r w:rsidRPr="00773B0A">
        <w:rPr>
          <w:b/>
          <w:bCs/>
        </w:rPr>
        <w:t>4. Quelle surveillance préconiser ?</w:t>
      </w:r>
    </w:p>
    <w:p w14:paraId="6775C42F" w14:textId="77777777" w:rsidR="00773B0A" w:rsidRPr="001F0A94" w:rsidRDefault="00773B0A" w:rsidP="00773B0A">
      <w:r w:rsidRPr="001F0A94">
        <w:t>Attention à une perte pondérale trop rapide, à la sarcopénie et aux carences, notamment chez le sujet âgé (plus de 70 ans), ainsi qu’aux complications digestives ou biliaires. L’objectif n’est pas le « poids idéal » que les patients peuvent imaginer, mais un bénéfice clinique réaliste, avec des apports nutritionnels suffisants.</w:t>
      </w:r>
    </w:p>
    <w:p w14:paraId="2BF437DC" w14:textId="77777777" w:rsidR="00773B0A" w:rsidRPr="00773B0A" w:rsidRDefault="00773B0A" w:rsidP="00773B0A">
      <w:pPr>
        <w:rPr>
          <w:b/>
          <w:bCs/>
        </w:rPr>
      </w:pPr>
      <w:r w:rsidRPr="00773B0A">
        <w:rPr>
          <w:b/>
          <w:bCs/>
        </w:rPr>
        <w:t>5. Combien de temps traiter ?</w:t>
      </w:r>
    </w:p>
    <w:p w14:paraId="3863EBEA" w14:textId="6FCE5CB6" w:rsidR="00773B0A" w:rsidRPr="001F0A94" w:rsidRDefault="00773B0A" w:rsidP="00773B0A">
      <w:r w:rsidRPr="001F0A94">
        <w:t>Ces traitements doivent s’inscrire dans la durée, probablement sur des années, et la reprise de poids à l’arrêt est fréquente. Une réévaluation régulière est indispensable : une interruption peut être envisagée si la réponse est insuffisante - généralement moins de 5 % du poids initial perdu à six mo</w:t>
      </w:r>
      <w:r w:rsidR="007310F6">
        <w:t xml:space="preserve">is </w:t>
      </w:r>
      <w:r w:rsidRPr="001F0A94">
        <w:t>- ou si apparaissent des signes de carence ou de dénutrition</w:t>
      </w:r>
      <w:r w:rsidRPr="004300DC">
        <w:t>.</w:t>
      </w:r>
      <w:r w:rsidR="007310F6" w:rsidRPr="004300DC">
        <w:t xml:space="preserve"> L’</w:t>
      </w:r>
      <w:r w:rsidRPr="004300DC">
        <w:t xml:space="preserve">erreur </w:t>
      </w:r>
      <w:r w:rsidR="007310F6" w:rsidRPr="004300DC">
        <w:t xml:space="preserve">à </w:t>
      </w:r>
      <w:r w:rsidRPr="004300DC">
        <w:t>éviter ?</w:t>
      </w:r>
      <w:r w:rsidR="007310F6">
        <w:t xml:space="preserve"> Présenter ces médicaments </w:t>
      </w:r>
      <w:r w:rsidRPr="001F0A94">
        <w:t xml:space="preserve">comme des traitements miracles. </w:t>
      </w:r>
      <w:proofErr w:type="spellStart"/>
      <w:r w:rsidRPr="001F0A94">
        <w:t>Wegovy</w:t>
      </w:r>
      <w:proofErr w:type="spellEnd"/>
      <w:r w:rsidRPr="001F0A94">
        <w:t xml:space="preserve"> et </w:t>
      </w:r>
      <w:proofErr w:type="spellStart"/>
      <w:r w:rsidRPr="001F0A94">
        <w:t>Mounjaro</w:t>
      </w:r>
      <w:proofErr w:type="spellEnd"/>
      <w:r w:rsidRPr="001F0A94">
        <w:t xml:space="preserve"> constituent une vraie avancée dans l’obésité, mais après bilan et dans un parcours de soins structuré : on traite une maladie chronique, pas quelques kilos à perdre avant l’été. De plus, nous manquons encore de recul pour juger de la pertinence de ces traitements sur le long terme.</w:t>
      </w:r>
    </w:p>
    <w:tbl>
      <w:tblPr>
        <w:tblW w:w="0" w:type="auto"/>
        <w:shd w:val="clear" w:color="auto" w:fill="FFFFFF"/>
        <w:tblCellMar>
          <w:left w:w="0" w:type="dxa"/>
          <w:right w:w="0" w:type="dxa"/>
        </w:tblCellMar>
        <w:tblLook w:val="04A0" w:firstRow="1" w:lastRow="0" w:firstColumn="1" w:lastColumn="0" w:noHBand="0" w:noVBand="1"/>
      </w:tblPr>
      <w:tblGrid>
        <w:gridCol w:w="9072"/>
      </w:tblGrid>
      <w:tr w:rsidR="00773B0A" w:rsidRPr="00773B0A" w14:paraId="4FF347CA" w14:textId="77777777">
        <w:tc>
          <w:tcPr>
            <w:tcW w:w="9972" w:type="dxa"/>
            <w:shd w:val="clear" w:color="auto" w:fill="EDEDED"/>
            <w:tcMar>
              <w:top w:w="120" w:type="dxa"/>
              <w:left w:w="160" w:type="dxa"/>
              <w:bottom w:w="120" w:type="dxa"/>
              <w:right w:w="160" w:type="dxa"/>
            </w:tcMar>
            <w:vAlign w:val="center"/>
            <w:hideMark/>
          </w:tcPr>
          <w:p w14:paraId="6C5E3F21" w14:textId="77777777" w:rsidR="00773B0A" w:rsidRPr="00773B0A" w:rsidRDefault="00773B0A" w:rsidP="00773B0A">
            <w:pPr>
              <w:rPr>
                <w:b/>
                <w:bCs/>
              </w:rPr>
            </w:pPr>
            <w:r w:rsidRPr="00773B0A">
              <w:rPr>
                <w:b/>
                <w:bCs/>
              </w:rPr>
              <w:t>QUELLES COMORBIDITÉS ?</w:t>
            </w:r>
          </w:p>
          <w:p w14:paraId="76A8CDFF" w14:textId="30E3679B" w:rsidR="00773B0A" w:rsidRPr="00473BBF" w:rsidRDefault="00773B0A" w:rsidP="00773B0A">
            <w:r w:rsidRPr="00473BBF">
              <w:t xml:space="preserve">Avec un IMC ≥ 35, le remboursement est possible en présence d’au moins une comorbidité : diabète de type 2, HTA traitée, apnée du sommeil, atteinte hépatique ou rénale, arthrose invalidante, asthme sévère, </w:t>
            </w:r>
            <w:r w:rsidRPr="003B4682">
              <w:t>S</w:t>
            </w:r>
            <w:r w:rsidR="00CB41B9" w:rsidRPr="003B4682">
              <w:t xml:space="preserve">yndrome des </w:t>
            </w:r>
            <w:r w:rsidRPr="003B4682">
              <w:t>O</w:t>
            </w:r>
            <w:r w:rsidR="00CB41B9" w:rsidRPr="003B4682">
              <w:t xml:space="preserve">vaires </w:t>
            </w:r>
            <w:r w:rsidRPr="003B4682">
              <w:t>P</w:t>
            </w:r>
            <w:r w:rsidR="00CB41B9" w:rsidRPr="003B4682">
              <w:t>olykystiques</w:t>
            </w:r>
            <w:r w:rsidRPr="00473BBF">
              <w:t xml:space="preserve">, infertilité avec projet </w:t>
            </w:r>
            <w:r w:rsidRPr="003B4682">
              <w:t>d’</w:t>
            </w:r>
            <w:r w:rsidR="007913FE" w:rsidRPr="003B4682">
              <w:t>Assistance</w:t>
            </w:r>
            <w:r w:rsidR="006E1887" w:rsidRPr="003B4682">
              <w:t xml:space="preserve"> Médicale à la Procréation</w:t>
            </w:r>
            <w:r w:rsidRPr="00473BBF">
              <w:t>, notamment. À partir d’un IMC ≥ 40, aucune comorbidité n’est exigée. Dans tous les cas, une prise en charge nutritionnelle préalable doit avoir échoué (&lt; 5 % de perte de poids à 6 mois).</w:t>
            </w:r>
          </w:p>
          <w:p w14:paraId="44F396F6" w14:textId="77777777" w:rsidR="00773B0A" w:rsidRPr="00773B0A" w:rsidRDefault="00773B0A" w:rsidP="00773B0A">
            <w:pPr>
              <w:rPr>
                <w:b/>
                <w:bCs/>
              </w:rPr>
            </w:pPr>
            <w:r w:rsidRPr="00773B0A">
              <w:rPr>
                <w:b/>
                <w:bCs/>
                <w:i/>
                <w:iCs/>
              </w:rPr>
              <w:t>Source : arrêté du 10 juin 2026.</w:t>
            </w:r>
          </w:p>
        </w:tc>
      </w:tr>
    </w:tbl>
    <w:p w14:paraId="73D859BD" w14:textId="77777777" w:rsidR="00635328" w:rsidRDefault="00635328" w:rsidP="004229B0">
      <w:pPr>
        <w:rPr>
          <w:b/>
          <w:bCs/>
        </w:rPr>
      </w:pPr>
    </w:p>
    <w:p w14:paraId="47C381EF" w14:textId="24FEEA83" w:rsidR="00062C76" w:rsidRDefault="00AA2186" w:rsidP="00062C76">
      <w:r>
        <w:rPr>
          <w:b/>
          <w:bCs/>
        </w:rPr>
        <w:t>DEPISTAGE NEONATAL</w:t>
      </w:r>
      <w:r w:rsidR="00062C76" w:rsidRPr="00812EB1">
        <w:rPr>
          <w:b/>
          <w:bCs/>
        </w:rPr>
        <w:t xml:space="preserve"> : de nouvelles </w:t>
      </w:r>
      <w:r w:rsidR="00062C76">
        <w:rPr>
          <w:b/>
          <w:bCs/>
        </w:rPr>
        <w:t>av</w:t>
      </w:r>
      <w:r w:rsidR="00062C76" w:rsidRPr="00812EB1">
        <w:rPr>
          <w:b/>
          <w:bCs/>
        </w:rPr>
        <w:t>ancées en 2026</w:t>
      </w:r>
      <w:r w:rsidR="00062C76" w:rsidRPr="00796D52">
        <w:t xml:space="preserve"> </w:t>
      </w:r>
    </w:p>
    <w:p w14:paraId="325C8C63" w14:textId="77EFF5BE" w:rsidR="00062C76" w:rsidRPr="0069362E" w:rsidRDefault="00062C76" w:rsidP="00062C76">
      <w:pPr>
        <w:rPr>
          <w:b/>
          <w:bCs/>
        </w:rPr>
      </w:pPr>
      <w:r w:rsidRPr="0069362E">
        <w:rPr>
          <w:b/>
          <w:bCs/>
        </w:rPr>
        <w:t xml:space="preserve">En quelques années, </w:t>
      </w:r>
      <w:r w:rsidRPr="003B4682">
        <w:rPr>
          <w:b/>
          <w:bCs/>
        </w:rPr>
        <w:t xml:space="preserve">le </w:t>
      </w:r>
      <w:r w:rsidR="00DB3CD1" w:rsidRPr="003B4682">
        <w:rPr>
          <w:b/>
          <w:bCs/>
        </w:rPr>
        <w:t>Dépista</w:t>
      </w:r>
      <w:r w:rsidR="00F75EC1" w:rsidRPr="003B4682">
        <w:rPr>
          <w:b/>
          <w:bCs/>
        </w:rPr>
        <w:t xml:space="preserve">ge Néonatal National </w:t>
      </w:r>
      <w:r w:rsidRPr="0069362E">
        <w:rPr>
          <w:b/>
          <w:bCs/>
        </w:rPr>
        <w:t>a profondément changé d’échelle, avec un même principe : repérer avant les premiers symptômes les maladies pour lesquelles agir tôt peut modifier le pronostic de l’enfant.</w:t>
      </w:r>
    </w:p>
    <w:p w14:paraId="23826E49" w14:textId="77777777" w:rsidR="00062C76" w:rsidRPr="00812EB1" w:rsidRDefault="00062C76" w:rsidP="00062C76">
      <w:r w:rsidRPr="00812EB1">
        <w:lastRenderedPageBreak/>
        <w:t xml:space="preserve">Le </w:t>
      </w:r>
      <w:r w:rsidRPr="00812EB1">
        <w:rPr>
          <w:b/>
          <w:bCs/>
        </w:rPr>
        <w:t>programme national de dépistage néonatal (DNN)</w:t>
      </w:r>
      <w:r w:rsidRPr="00812EB1">
        <w:t xml:space="preserve"> est proposé à tous les nouveau-nés en France. Quelques gouttes de sang, prélevées sur papier buvard généralement entre le 2e et le 3e jour de vie (« test de Guthrie »), permettent de rechercher des maladies rares et graves avant l’apparition des symptômes et d’instaurer rapidement une prise en charge.</w:t>
      </w:r>
    </w:p>
    <w:p w14:paraId="129701CB" w14:textId="315EF7E8" w:rsidR="00797151" w:rsidRDefault="00772CB9" w:rsidP="00062C76">
      <w:r>
        <w:rPr>
          <w:b/>
          <w:bCs/>
        </w:rPr>
        <w:t xml:space="preserve">Deux </w:t>
      </w:r>
      <w:r w:rsidR="005312C9">
        <w:rPr>
          <w:b/>
          <w:bCs/>
        </w:rPr>
        <w:t>dépistag</w:t>
      </w:r>
      <w:r>
        <w:rPr>
          <w:b/>
          <w:bCs/>
        </w:rPr>
        <w:t xml:space="preserve">es supplémentaires </w:t>
      </w:r>
      <w:r w:rsidR="005312C9">
        <w:rPr>
          <w:b/>
          <w:bCs/>
        </w:rPr>
        <w:t>recommandés en 2026</w:t>
      </w:r>
      <w:r w:rsidR="00062C76" w:rsidRPr="00812EB1">
        <w:t xml:space="preserve"> : </w:t>
      </w:r>
      <w:r w:rsidR="00062C76" w:rsidRPr="00765F38">
        <w:t xml:space="preserve">Ce dépistage concernait l'hypothyroïdie congénitale, la phénylcétonurie, l'hyperplasie congénitale des surrénales, la mucoviscidose et la drépanocytose. Depuis septembre 2025 s’ajoutent le dépistage du </w:t>
      </w:r>
      <w:r w:rsidR="00062C76" w:rsidRPr="00D41860">
        <w:t xml:space="preserve">déficit immunitaire combiné sévère (DICS), </w:t>
      </w:r>
      <w:r w:rsidR="00D40153">
        <w:t>du</w:t>
      </w:r>
      <w:r w:rsidR="00062C76" w:rsidRPr="00D41860">
        <w:t xml:space="preserve"> déficit en VLCAD</w:t>
      </w:r>
      <w:r w:rsidR="00062C76">
        <w:t xml:space="preserve"> (</w:t>
      </w:r>
      <w:r w:rsidR="00062C76" w:rsidRPr="00802DCE">
        <w:t xml:space="preserve">Very Long-Chain Acyl-CoA </w:t>
      </w:r>
      <w:proofErr w:type="spellStart"/>
      <w:r w:rsidR="00062C76" w:rsidRPr="00A1083D">
        <w:t>D</w:t>
      </w:r>
      <w:r w:rsidR="00134863" w:rsidRPr="00A1083D">
        <w:t>é</w:t>
      </w:r>
      <w:r w:rsidR="00062C76" w:rsidRPr="00A1083D">
        <w:t>hydrog</w:t>
      </w:r>
      <w:r w:rsidR="00134863" w:rsidRPr="00A1083D">
        <w:t>é</w:t>
      </w:r>
      <w:r w:rsidR="00062C76" w:rsidRPr="00A1083D">
        <w:t>nase</w:t>
      </w:r>
      <w:proofErr w:type="spellEnd"/>
      <w:r w:rsidR="00062C76">
        <w:t>) et</w:t>
      </w:r>
      <w:r w:rsidR="00062C76" w:rsidRPr="00D41860">
        <w:t xml:space="preserve"> </w:t>
      </w:r>
      <w:r w:rsidR="00D40153">
        <w:t xml:space="preserve">de </w:t>
      </w:r>
      <w:r w:rsidR="00062C76" w:rsidRPr="00D41860">
        <w:t>l’amyotrophie spinale (SMA)</w:t>
      </w:r>
      <w:r w:rsidR="00062C76">
        <w:t xml:space="preserve"> – ce dernier nécessit</w:t>
      </w:r>
      <w:r w:rsidR="00613008">
        <w:t>ant</w:t>
      </w:r>
      <w:r w:rsidR="00062C76">
        <w:t xml:space="preserve"> un consentement parental</w:t>
      </w:r>
      <w:r w:rsidR="00062C76" w:rsidRPr="00D41860">
        <w:t xml:space="preserve">. Le programme porte </w:t>
      </w:r>
      <w:r w:rsidR="00500FC5">
        <w:t>donc</w:t>
      </w:r>
      <w:r w:rsidR="00062C76" w:rsidRPr="00D41860">
        <w:t xml:space="preserve"> actuellement sur 16 maladies </w:t>
      </w:r>
      <w:r w:rsidR="00500FC5">
        <w:t>ainsi que</w:t>
      </w:r>
      <w:r w:rsidR="00E91D9E">
        <w:t>,</w:t>
      </w:r>
      <w:r w:rsidR="00062C76" w:rsidRPr="00D41860">
        <w:t xml:space="preserve"> selon une organisation distincte, le dépistage de la surdité permanente néonatale</w:t>
      </w:r>
      <w:r w:rsidR="00166E18">
        <w:t xml:space="preserve">. </w:t>
      </w:r>
      <w:r w:rsidR="0089758D">
        <w:t>En septembre 2026, l</w:t>
      </w:r>
      <w:r w:rsidR="00166E18" w:rsidRPr="00166E18">
        <w:t>a HAS a recommandé l’intégration et prépare leur mise en œuvre</w:t>
      </w:r>
      <w:r w:rsidR="00166E18">
        <w:t xml:space="preserve"> du </w:t>
      </w:r>
      <w:r w:rsidR="00062C76" w:rsidRPr="00D41860">
        <w:t xml:space="preserve">dépistage néonatal de la galactosémie, maladie métabolique nécessitant l’éviction très précoce du galactose, et du déficit en </w:t>
      </w:r>
      <w:proofErr w:type="spellStart"/>
      <w:r w:rsidR="00062C76" w:rsidRPr="00D41860">
        <w:t>biotinidase</w:t>
      </w:r>
      <w:proofErr w:type="spellEnd"/>
      <w:r w:rsidR="00062C76" w:rsidRPr="00D41860">
        <w:t>, dont les complications neurologiques peuvent être prévenues par un traitement simple par biotine</w:t>
      </w:r>
      <w:r w:rsidR="00CB2628">
        <w:t>.</w:t>
      </w:r>
      <w:r w:rsidR="00797151" w:rsidRPr="00797151">
        <w:t xml:space="preserve"> </w:t>
      </w:r>
    </w:p>
    <w:p w14:paraId="34DE6EB2" w14:textId="06F8D1D8" w:rsidR="00062C76" w:rsidRPr="00B616BF" w:rsidRDefault="00062C76" w:rsidP="00062C76">
      <w:pPr>
        <w:rPr>
          <w:b/>
          <w:bCs/>
        </w:rPr>
      </w:pPr>
      <w:r w:rsidRPr="00812EB1">
        <w:rPr>
          <w:b/>
          <w:bCs/>
        </w:rPr>
        <w:t>Le CMV mieux repéré dès la grossesse</w:t>
      </w:r>
      <w:r>
        <w:rPr>
          <w:b/>
          <w:bCs/>
        </w:rPr>
        <w:t xml:space="preserve"> : </w:t>
      </w:r>
      <w:r w:rsidRPr="008F216D">
        <w:t xml:space="preserve">Concernant le cytomégalovirus (CMV), première cause de handicap congénital d’origine infectieuse, </w:t>
      </w:r>
      <w:r w:rsidR="00945C8D">
        <w:t>l</w:t>
      </w:r>
      <w:r w:rsidRPr="008F216D">
        <w:t xml:space="preserve">a HAS préconise un dépistage sérologique au premier trimestre chez les femmes dont le statut est négatif ou inconnu, associé au rappel des mesures d’hygiène. Le médecin généraliste </w:t>
      </w:r>
      <w:proofErr w:type="gramStart"/>
      <w:r w:rsidRPr="008F216D">
        <w:t>a</w:t>
      </w:r>
      <w:proofErr w:type="gramEnd"/>
      <w:r w:rsidRPr="008F216D">
        <w:t xml:space="preserve"> ici un rôle de première ligne : informer dès le projet de grossesse ou son début, prescrire la sérologie lorsqu’elle est indiquée, rappeler les gestes de prévention et orienter rapidement vers une équipe spécialisée en cas de primo-infection. Chez le nouveau-né suspect d’infection congénitale, la PCR CMV doit être réalisée dans les trois premières semaines de vie.</w:t>
      </w:r>
    </w:p>
    <w:p w14:paraId="544976BC" w14:textId="77777777" w:rsidR="00062C76" w:rsidRDefault="00062C76" w:rsidP="00062C76">
      <w:pPr>
        <w:rPr>
          <w:b/>
          <w:bCs/>
        </w:rPr>
      </w:pPr>
      <w:r w:rsidRPr="00C1756A">
        <w:rPr>
          <w:b/>
          <w:bCs/>
        </w:rPr>
        <w:t>Dr Georges Hobeika</w:t>
      </w:r>
    </w:p>
    <w:p w14:paraId="215CDC7F" w14:textId="77777777" w:rsidR="00062C76" w:rsidRPr="00C1756A" w:rsidRDefault="00062C76" w:rsidP="00062C76">
      <w:pPr>
        <w:rPr>
          <w:b/>
          <w:bCs/>
        </w:rPr>
      </w:pPr>
      <w:r>
        <w:rPr>
          <w:b/>
          <w:bCs/>
        </w:rPr>
        <w:t xml:space="preserve">Pour en savoir plus : </w:t>
      </w:r>
      <w:hyperlink r:id="rId4" w:history="1">
        <w:r w:rsidRPr="006E11C5">
          <w:rPr>
            <w:rStyle w:val="Lienhypertexte"/>
            <w:b/>
            <w:bCs/>
          </w:rPr>
          <w:t>https://depistage-neonatal.fr/</w:t>
        </w:r>
      </w:hyperlink>
      <w:r>
        <w:rPr>
          <w:b/>
          <w:bCs/>
        </w:rPr>
        <w:t xml:space="preserve"> </w:t>
      </w:r>
    </w:p>
    <w:p w14:paraId="3E11CE22" w14:textId="77777777" w:rsidR="00D77E31" w:rsidRPr="009B06DC" w:rsidRDefault="00D77E31" w:rsidP="004229B0">
      <w:pPr>
        <w:rPr>
          <w:b/>
          <w:bCs/>
        </w:rPr>
      </w:pPr>
    </w:p>
    <w:p w14:paraId="17D527CC" w14:textId="77777777" w:rsidR="00D77E31" w:rsidRDefault="00D77E31" w:rsidP="00D77E31">
      <w:r>
        <w:rPr>
          <w:b/>
          <w:bCs/>
        </w:rPr>
        <w:t>AFFAIRE DISCIPLINAIRE</w:t>
      </w:r>
      <w:r w:rsidRPr="001B6C89">
        <w:rPr>
          <w:b/>
          <w:bCs/>
        </w:rPr>
        <w:t> : consultation illicite de dossier médical</w:t>
      </w:r>
      <w:r w:rsidRPr="004A4CAD">
        <w:t xml:space="preserve"> </w:t>
      </w:r>
    </w:p>
    <w:p w14:paraId="6764718F" w14:textId="554CCBCA" w:rsidR="00D77E31" w:rsidRDefault="00D77E31" w:rsidP="00D77E31">
      <w:r w:rsidRPr="00AA6729">
        <w:rPr>
          <w:b/>
          <w:bCs/>
        </w:rPr>
        <w:t>Les faits</w:t>
      </w:r>
      <w:r>
        <w:t xml:space="preserve"> : Le Dr R., médecin anesthésiste </w:t>
      </w:r>
      <w:r w:rsidR="00FB6F9D" w:rsidRPr="00ED2BAD">
        <w:t>hospitalier</w:t>
      </w:r>
      <w:r w:rsidRPr="00ED2BAD">
        <w:t xml:space="preserve">, a </w:t>
      </w:r>
      <w:r>
        <w:t xml:space="preserve">consulté à plusieurs reprises et imprimé le dossier médical de Mme M., </w:t>
      </w:r>
      <w:r w:rsidRPr="004A4CAD">
        <w:t>pour des motifs de curiosité personnelle et sans autorisation de la personne concernée, avec laquelle il avait auparavant entretenu une relation sentimentale.</w:t>
      </w:r>
      <w:r>
        <w:t xml:space="preserve"> </w:t>
      </w:r>
    </w:p>
    <w:p w14:paraId="13655A7C" w14:textId="0BCB3040" w:rsidR="00D77E31" w:rsidRDefault="00D77E31" w:rsidP="00D77E31">
      <w:r w:rsidRPr="00AA6729">
        <w:rPr>
          <w:b/>
          <w:bCs/>
        </w:rPr>
        <w:t>Les manquements déontologiques</w:t>
      </w:r>
      <w:r>
        <w:t xml:space="preserve"> : Le </w:t>
      </w:r>
      <w:r w:rsidRPr="00D04C1F">
        <w:t>comportement</w:t>
      </w:r>
      <w:r>
        <w:t xml:space="preserve"> du Dr R.</w:t>
      </w:r>
      <w:r w:rsidRPr="00D04C1F">
        <w:t xml:space="preserve"> méconnait le secret professionnel des médecins, qu</w:t>
      </w:r>
      <w:r>
        <w:t>i</w:t>
      </w:r>
      <w:r w:rsidRPr="00D04C1F">
        <w:t xml:space="preserve"> impose de respecter en toutes circonstances </w:t>
      </w:r>
      <w:r w:rsidR="001E7AB3">
        <w:t>la confidentialité</w:t>
      </w:r>
      <w:r w:rsidRPr="00D04C1F">
        <w:t xml:space="preserve"> des informations médicales de toute personne et de ne pas chercher à les obtenir sans raison professionnelle et hors des conditions définies par la loi. </w:t>
      </w:r>
      <w:r>
        <w:t xml:space="preserve"> (</w:t>
      </w:r>
      <w:proofErr w:type="gramStart"/>
      <w:r w:rsidRPr="00C742D5">
        <w:t>article</w:t>
      </w:r>
      <w:r>
        <w:t>s</w:t>
      </w:r>
      <w:proofErr w:type="gramEnd"/>
      <w:r w:rsidRPr="00C742D5">
        <w:t xml:space="preserve"> R. 4127-</w:t>
      </w:r>
      <w:proofErr w:type="gramStart"/>
      <w:r w:rsidRPr="00C742D5">
        <w:t>4</w:t>
      </w:r>
      <w:r>
        <w:t xml:space="preserve">  et</w:t>
      </w:r>
      <w:proofErr w:type="gramEnd"/>
      <w:r>
        <w:t xml:space="preserve"> </w:t>
      </w:r>
      <w:r w:rsidRPr="00423B5F">
        <w:t xml:space="preserve">R. 4127 95 </w:t>
      </w:r>
      <w:r>
        <w:t xml:space="preserve">du CSP). </w:t>
      </w:r>
      <w:r w:rsidRPr="00D04C1F">
        <w:t>Il caractérise également</w:t>
      </w:r>
      <w:r>
        <w:t xml:space="preserve"> une atteinte au respect de la vie privée (article </w:t>
      </w:r>
      <w:r w:rsidRPr="00F80FC9">
        <w:t>L. 1110-4</w:t>
      </w:r>
      <w:r>
        <w:t xml:space="preserve">) et </w:t>
      </w:r>
      <w:r w:rsidRPr="00D04C1F">
        <w:t>une méconnaissance des devoirs de moralité et de probité de nature à déconsidérer la profession de médecin</w:t>
      </w:r>
      <w:r>
        <w:t xml:space="preserve"> (</w:t>
      </w:r>
      <w:r w:rsidRPr="00B225C3">
        <w:t>article R. 4127-31</w:t>
      </w:r>
      <w:r>
        <w:t>)</w:t>
      </w:r>
      <w:r w:rsidRPr="00D04C1F">
        <w:t>.</w:t>
      </w:r>
    </w:p>
    <w:p w14:paraId="324D113A" w14:textId="77777777" w:rsidR="00D77E31" w:rsidRDefault="00D77E31" w:rsidP="00D77E31">
      <w:r w:rsidRPr="00AA6729">
        <w:rPr>
          <w:b/>
          <w:bCs/>
        </w:rPr>
        <w:t>La décision de la chambre disciplinaire</w:t>
      </w:r>
      <w:r>
        <w:t xml:space="preserve"> : La sanction du blâme a été appliquée. </w:t>
      </w:r>
    </w:p>
    <w:p w14:paraId="3FEFE44D" w14:textId="77777777" w:rsidR="004229B0" w:rsidRDefault="004229B0" w:rsidP="000305ED"/>
    <w:sectPr w:rsidR="004229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84A"/>
    <w:rsid w:val="000305ED"/>
    <w:rsid w:val="00062C76"/>
    <w:rsid w:val="00107FF4"/>
    <w:rsid w:val="00134863"/>
    <w:rsid w:val="00143DFD"/>
    <w:rsid w:val="00166E18"/>
    <w:rsid w:val="001755FA"/>
    <w:rsid w:val="001836CF"/>
    <w:rsid w:val="001E7AB3"/>
    <w:rsid w:val="001F0A94"/>
    <w:rsid w:val="003B4682"/>
    <w:rsid w:val="003E5C27"/>
    <w:rsid w:val="004229B0"/>
    <w:rsid w:val="004300DC"/>
    <w:rsid w:val="00473BBF"/>
    <w:rsid w:val="00500FC5"/>
    <w:rsid w:val="005312C9"/>
    <w:rsid w:val="00604C4F"/>
    <w:rsid w:val="00613008"/>
    <w:rsid w:val="00635328"/>
    <w:rsid w:val="006E1887"/>
    <w:rsid w:val="007310F6"/>
    <w:rsid w:val="0076653D"/>
    <w:rsid w:val="00772535"/>
    <w:rsid w:val="00772CB9"/>
    <w:rsid w:val="00773B0A"/>
    <w:rsid w:val="007913FE"/>
    <w:rsid w:val="00797151"/>
    <w:rsid w:val="0080688B"/>
    <w:rsid w:val="0089758D"/>
    <w:rsid w:val="00940335"/>
    <w:rsid w:val="00945C8D"/>
    <w:rsid w:val="00A1083D"/>
    <w:rsid w:val="00A163F0"/>
    <w:rsid w:val="00A3724C"/>
    <w:rsid w:val="00AA2186"/>
    <w:rsid w:val="00AF0BAE"/>
    <w:rsid w:val="00BA5A54"/>
    <w:rsid w:val="00C04DE6"/>
    <w:rsid w:val="00C73E54"/>
    <w:rsid w:val="00CB2628"/>
    <w:rsid w:val="00CB41B9"/>
    <w:rsid w:val="00D40153"/>
    <w:rsid w:val="00D77E31"/>
    <w:rsid w:val="00D902B1"/>
    <w:rsid w:val="00DB3CD1"/>
    <w:rsid w:val="00E53A02"/>
    <w:rsid w:val="00E91D9E"/>
    <w:rsid w:val="00EA19CA"/>
    <w:rsid w:val="00ED2BAD"/>
    <w:rsid w:val="00F1184A"/>
    <w:rsid w:val="00F75EC1"/>
    <w:rsid w:val="00FB6F9D"/>
    <w:rsid w:val="00FE50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7132F"/>
  <w15:chartTrackingRefBased/>
  <w15:docId w15:val="{FCF1EFEA-F94B-4BC9-9F42-130D1E608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5ED"/>
  </w:style>
  <w:style w:type="paragraph" w:styleId="Titre1">
    <w:name w:val="heading 1"/>
    <w:basedOn w:val="Normal"/>
    <w:next w:val="Normal"/>
    <w:link w:val="Titre1Car"/>
    <w:uiPriority w:val="9"/>
    <w:qFormat/>
    <w:rsid w:val="00F118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118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1184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1184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1184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1184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1184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1184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1184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1184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1184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1184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1184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1184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1184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1184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1184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1184A"/>
    <w:rPr>
      <w:rFonts w:eastAsiaTheme="majorEastAsia" w:cstheme="majorBidi"/>
      <w:color w:val="272727" w:themeColor="text1" w:themeTint="D8"/>
    </w:rPr>
  </w:style>
  <w:style w:type="paragraph" w:styleId="Titre">
    <w:name w:val="Title"/>
    <w:basedOn w:val="Normal"/>
    <w:next w:val="Normal"/>
    <w:link w:val="TitreCar"/>
    <w:uiPriority w:val="10"/>
    <w:qFormat/>
    <w:rsid w:val="00F118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1184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1184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1184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1184A"/>
    <w:pPr>
      <w:spacing w:before="160"/>
      <w:jc w:val="center"/>
    </w:pPr>
    <w:rPr>
      <w:i/>
      <w:iCs/>
      <w:color w:val="404040" w:themeColor="text1" w:themeTint="BF"/>
    </w:rPr>
  </w:style>
  <w:style w:type="character" w:customStyle="1" w:styleId="CitationCar">
    <w:name w:val="Citation Car"/>
    <w:basedOn w:val="Policepardfaut"/>
    <w:link w:val="Citation"/>
    <w:uiPriority w:val="29"/>
    <w:rsid w:val="00F1184A"/>
    <w:rPr>
      <w:i/>
      <w:iCs/>
      <w:color w:val="404040" w:themeColor="text1" w:themeTint="BF"/>
    </w:rPr>
  </w:style>
  <w:style w:type="paragraph" w:styleId="Paragraphedeliste">
    <w:name w:val="List Paragraph"/>
    <w:basedOn w:val="Normal"/>
    <w:uiPriority w:val="34"/>
    <w:qFormat/>
    <w:rsid w:val="00F1184A"/>
    <w:pPr>
      <w:ind w:left="720"/>
      <w:contextualSpacing/>
    </w:pPr>
  </w:style>
  <w:style w:type="character" w:styleId="Accentuationintense">
    <w:name w:val="Intense Emphasis"/>
    <w:basedOn w:val="Policepardfaut"/>
    <w:uiPriority w:val="21"/>
    <w:qFormat/>
    <w:rsid w:val="00F1184A"/>
    <w:rPr>
      <w:i/>
      <w:iCs/>
      <w:color w:val="0F4761" w:themeColor="accent1" w:themeShade="BF"/>
    </w:rPr>
  </w:style>
  <w:style w:type="paragraph" w:styleId="Citationintense">
    <w:name w:val="Intense Quote"/>
    <w:basedOn w:val="Normal"/>
    <w:next w:val="Normal"/>
    <w:link w:val="CitationintenseCar"/>
    <w:uiPriority w:val="30"/>
    <w:qFormat/>
    <w:rsid w:val="00F118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1184A"/>
    <w:rPr>
      <w:i/>
      <w:iCs/>
      <w:color w:val="0F4761" w:themeColor="accent1" w:themeShade="BF"/>
    </w:rPr>
  </w:style>
  <w:style w:type="character" w:styleId="Rfrenceintense">
    <w:name w:val="Intense Reference"/>
    <w:basedOn w:val="Policepardfaut"/>
    <w:uiPriority w:val="32"/>
    <w:qFormat/>
    <w:rsid w:val="00F1184A"/>
    <w:rPr>
      <w:b/>
      <w:bCs/>
      <w:smallCaps/>
      <w:color w:val="0F4761" w:themeColor="accent1" w:themeShade="BF"/>
      <w:spacing w:val="5"/>
    </w:rPr>
  </w:style>
  <w:style w:type="character" w:styleId="Lienhypertexte">
    <w:name w:val="Hyperlink"/>
    <w:basedOn w:val="Policepardfaut"/>
    <w:uiPriority w:val="99"/>
    <w:unhideWhenUsed/>
    <w:rsid w:val="00062C7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epistage-neonatal.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1871</Words>
  <Characters>10294</Characters>
  <Application>Microsoft Office Word</Application>
  <DocSecurity>0</DocSecurity>
  <Lines>85</Lines>
  <Paragraphs>24</Paragraphs>
  <ScaleCrop>false</ScaleCrop>
  <Company/>
  <LinksUpToDate>false</LinksUpToDate>
  <CharactersWithSpaces>12141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chahine</dc:creator>
  <cp:keywords/>
  <dc:description/>
  <cp:lastModifiedBy>nathalie chahine</cp:lastModifiedBy>
  <cp:revision>16</cp:revision>
  <dcterms:created xsi:type="dcterms:W3CDTF">2026-09-16T17:45:00Z</dcterms:created>
  <dcterms:modified xsi:type="dcterms:W3CDTF">2026-09-16T19:46:00Z</dcterms:modified>
</cp:coreProperties>
</file>