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03C6" w14:textId="4555991F" w:rsidR="00621C2E" w:rsidRPr="00621C2E" w:rsidRDefault="00621C2E" w:rsidP="00621C2E">
      <w:pPr>
        <w:rPr>
          <w:rFonts w:ascii="Times New Roman" w:hAnsi="Times New Roman" w:cs="Times New Roman"/>
          <w:color w:val="4C94D8" w:themeColor="text2" w:themeTint="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1C2E">
        <w:rPr>
          <w:rFonts w:ascii="Times New Roman" w:hAnsi="Times New Roman" w:cs="Times New Roman"/>
          <w:color w:val="4C94D8" w:themeColor="text2" w:themeTint="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DOCTONEWS mai 2026</w:t>
      </w:r>
    </w:p>
    <w:p w14:paraId="77C97EA5" w14:textId="77777777" w:rsidR="00621C2E" w:rsidRPr="00621C2E" w:rsidRDefault="00621C2E" w:rsidP="00621C2E">
      <w:pPr>
        <w:rPr>
          <w:rFonts w:ascii="Times New Roman" w:hAnsi="Times New Roman" w:cs="Times New Roman"/>
          <w:color w:val="4C94D8" w:themeColor="text2" w:themeTint="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1C2E">
        <w:rPr>
          <w:rFonts w:ascii="Times New Roman" w:hAnsi="Times New Roman" w:cs="Times New Roman"/>
          <w:color w:val="4C94D8" w:themeColor="text2" w:themeTint="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5A659D92" w14:textId="77777777" w:rsidR="00621C2E" w:rsidRDefault="00621C2E" w:rsidP="00621C2E">
      <w:pPr>
        <w:rPr>
          <w:b/>
          <w:bCs/>
        </w:rPr>
      </w:pPr>
    </w:p>
    <w:p w14:paraId="4C180774" w14:textId="77777777" w:rsidR="00621C2E" w:rsidRPr="00621C2E" w:rsidRDefault="00621C2E" w:rsidP="00621C2E">
      <w:pPr>
        <w:rPr>
          <w:b/>
          <w:bCs/>
          <w:color w:val="C00000"/>
        </w:rPr>
      </w:pPr>
      <w:r w:rsidRPr="00621C2E">
        <w:rPr>
          <w:b/>
          <w:bCs/>
          <w:color w:val="C00000"/>
        </w:rPr>
        <w:t xml:space="preserve">PERFUSIONS A DOMICILE </w:t>
      </w:r>
    </w:p>
    <w:p w14:paraId="1FF2DB85" w14:textId="0F73ED87" w:rsidR="00621C2E" w:rsidRPr="000B0139" w:rsidRDefault="00621C2E" w:rsidP="00621C2E">
      <w:r>
        <w:rPr>
          <w:b/>
          <w:bCs/>
        </w:rPr>
        <w:t>A</w:t>
      </w:r>
      <w:r w:rsidRPr="000B0139">
        <w:rPr>
          <w:b/>
          <w:bCs/>
        </w:rPr>
        <w:t>ppel à la vigilance sur certaines prescription</w:t>
      </w:r>
      <w:r w:rsidR="00513168">
        <w:rPr>
          <w:b/>
          <w:bCs/>
        </w:rPr>
        <w:t>s</w:t>
      </w:r>
    </w:p>
    <w:p w14:paraId="42DC337D" w14:textId="77777777" w:rsidR="00621C2E" w:rsidRPr="000B0139" w:rsidRDefault="00621C2E" w:rsidP="00621C2E">
      <w:r w:rsidRPr="000B0139">
        <w:t>Alerté par la CPAM sur l’évolution rapide des remboursements liés aux perfusions à domicile, le Conseil départemental de l’Ordre des médecins du Val-d’Oise souhaite sensibiliser les médecins prescripteurs à certaines dérives observées. En 2025, les remboursements des forfaits de perfusion à domicile (« Perfadom ») dépassent 9 millions d’euros, soit une hausse de près de 10 % en un an. Les prescriptions émanant des médecins généralistes représentent près des deux tiers de cette progression, avec une augmentation marquée du nombre de forfaits et de bénéficiaires. Les dispositifs de type « diffuseur », particulièrement coûteux, concentrent à eux seuls plus de 80 % de l’augmentation des dépenses.</w:t>
      </w:r>
    </w:p>
    <w:p w14:paraId="5B1AC407" w14:textId="3FC3244A" w:rsidR="00621C2E" w:rsidRPr="00621C2E" w:rsidRDefault="00621C2E" w:rsidP="00621C2E">
      <w:r w:rsidRPr="000B0139">
        <w:t>Cette évolution pourrait traduire moins une hausse des besoins médicaux qu’un recours croissant à des modalités de prise en charge plus onéreuses, parfois favorisé par certains prestataires spécialisés proposant des ordonnances pré-remplies ou orientant vers les forfaits les plus coûteux. Des prescriptions de perfusion ont également été relevées dans des situations où un traitement oral pouvait apparaître suffisant. Le CDOM 95 rappelle ainsi l’importance d’une prescription strictement adaptée à la situation clinique du patient, sans automatisme dans le recours aux prestataires spécialisés. Il souligne également que les infirmiers libéraux intervenant déjà au domicile du patient disposent pleinement des compétences nécessaires pour assurer ces soins, contribuant à une prise en charge coordonnée, sécurisée et proportionnée aux besoins réels.</w:t>
      </w:r>
    </w:p>
    <w:p w14:paraId="11B8D998" w14:textId="77777777" w:rsidR="00513168" w:rsidRDefault="00513168" w:rsidP="00513168">
      <w:pPr>
        <w:rPr>
          <w:b/>
          <w:bCs/>
          <w:color w:val="4EA72E" w:themeColor="accent6"/>
        </w:rPr>
      </w:pPr>
    </w:p>
    <w:p w14:paraId="76D72D62" w14:textId="7A07A103" w:rsidR="00513168" w:rsidRPr="00621C2E" w:rsidRDefault="00513168" w:rsidP="00513168">
      <w:pPr>
        <w:rPr>
          <w:b/>
          <w:bCs/>
          <w:color w:val="4EA72E" w:themeColor="accent6"/>
        </w:rPr>
      </w:pPr>
      <w:r w:rsidRPr="00621C2E">
        <w:rPr>
          <w:b/>
          <w:bCs/>
          <w:color w:val="4EA72E" w:themeColor="accent6"/>
        </w:rPr>
        <w:t>CURSUS</w:t>
      </w:r>
    </w:p>
    <w:p w14:paraId="37F4F6AC" w14:textId="77777777" w:rsidR="00513168" w:rsidRPr="009B5E55" w:rsidRDefault="00513168" w:rsidP="00513168">
      <w:pPr>
        <w:rPr>
          <w:b/>
          <w:bCs/>
        </w:rPr>
      </w:pPr>
      <w:r>
        <w:rPr>
          <w:b/>
          <w:bCs/>
        </w:rPr>
        <w:t>Le</w:t>
      </w:r>
      <w:r w:rsidRPr="009B5E55">
        <w:rPr>
          <w:b/>
          <w:bCs/>
        </w:rPr>
        <w:t xml:space="preserve"> Docteur Junior arrive dans le Val-d’Oise</w:t>
      </w:r>
    </w:p>
    <w:p w14:paraId="4BA7F7E1" w14:textId="77777777" w:rsidR="00513168" w:rsidRPr="009B5E55" w:rsidRDefault="00513168" w:rsidP="00513168">
      <w:r w:rsidRPr="009B5E55">
        <w:rPr>
          <w:b/>
          <w:bCs/>
        </w:rPr>
        <w:t>Qu’est-ce que le Docteur Junior ?</w:t>
      </w:r>
      <w:r w:rsidRPr="009B5E55">
        <w:rPr>
          <w:b/>
          <w:bCs/>
        </w:rPr>
        <w:br/>
      </w:r>
      <w:r w:rsidRPr="009B5E55">
        <w:t>Prévue par la loi du 26 avril 2019, la 4e année du DES de médecine générale correspond à une phase de consolidation durant laquelle l’interne devient « Docteur Junior » (DJ). Il exerce en responsabilité supervisée, inscrit sur un tableau spécial de l’Ordre auprès de son UFR, tout en restant administrativement rattaché au CHU de sa subdivision.</w:t>
      </w:r>
    </w:p>
    <w:p w14:paraId="05DD52F3" w14:textId="77777777" w:rsidR="00513168" w:rsidRPr="009B5E55" w:rsidRDefault="00513168" w:rsidP="00513168">
      <w:pPr>
        <w:rPr>
          <w:b/>
          <w:bCs/>
        </w:rPr>
      </w:pPr>
      <w:r w:rsidRPr="009B5E55">
        <w:rPr>
          <w:b/>
          <w:bCs/>
        </w:rPr>
        <w:t>Comment fonctionne ce nouveau dispositif ?</w:t>
      </w:r>
      <w:r w:rsidRPr="009B5E55">
        <w:rPr>
          <w:b/>
          <w:bCs/>
        </w:rPr>
        <w:br/>
      </w:r>
      <w:r w:rsidRPr="009B5E55">
        <w:t>Le DJ exerce quatre jours par semaine, principalement en médecine générale, avec un plafond d’environ 25 actes quotidiens. Une journée territoriale peut être consacrée à des missions en CPTS, PMI, EHPAD, prévention ou coordination. Dans le Val-d’Oise, les CPTS se sont rapidement mobilisées pour proposer des terrains d’accueil structurés. Le CHU assure l’intégralité de la rémunération : salaire fixe, primes d’activité et, en zone sous-dotée, prime complémentaire spécifique</w:t>
      </w:r>
      <w:r w:rsidRPr="009B5E55">
        <w:rPr>
          <w:b/>
          <w:bCs/>
        </w:rPr>
        <w:t>.</w:t>
      </w:r>
    </w:p>
    <w:p w14:paraId="16C3F073" w14:textId="77777777" w:rsidR="00513168" w:rsidRPr="009B5E55" w:rsidRDefault="00513168" w:rsidP="00513168">
      <w:pPr>
        <w:rPr>
          <w:b/>
          <w:bCs/>
        </w:rPr>
      </w:pPr>
      <w:r w:rsidRPr="009B5E55">
        <w:rPr>
          <w:b/>
          <w:bCs/>
        </w:rPr>
        <w:t>Quel rôle pour les maîtres de stage ?</w:t>
      </w:r>
      <w:r w:rsidRPr="009B5E55">
        <w:rPr>
          <w:b/>
          <w:bCs/>
        </w:rPr>
        <w:br/>
      </w:r>
      <w:r w:rsidRPr="009B5E55">
        <w:t xml:space="preserve">Le praticien ambulatoire maître de stage universitaire (PAMSU) perçoit des honoraires pédagogiques mensuels, auxquels peuvent s’ajouter plusieurs primes selon le territoire ou les </w:t>
      </w:r>
      <w:r w:rsidRPr="009B5E55">
        <w:lastRenderedPageBreak/>
        <w:t>missions assurées. Mais la complexité des circuits financiers — impliquant CHU, CNAM, université et structures d’accueil — suscite des interrogations sur l’attractivité du dispositif. D’autres points restent à clarifier, notamment la répartition territoriale des DJ et l’articulation avec les stages SASPAS.</w:t>
      </w:r>
    </w:p>
    <w:p w14:paraId="75EC19C8" w14:textId="77777777" w:rsidR="00513168" w:rsidRPr="009B5E55" w:rsidRDefault="00513168" w:rsidP="00513168">
      <w:pPr>
        <w:rPr>
          <w:b/>
          <w:bCs/>
        </w:rPr>
      </w:pPr>
      <w:r w:rsidRPr="009B5E55">
        <w:rPr>
          <w:b/>
          <w:bCs/>
        </w:rPr>
        <w:t>Quelle mobilisation dans le Val-d’Oise ?</w:t>
      </w:r>
      <w:r w:rsidRPr="009B5E55">
        <w:rPr>
          <w:b/>
          <w:bCs/>
        </w:rPr>
        <w:br/>
      </w:r>
      <w:r w:rsidRPr="009B5E55">
        <w:t>Le CDOM 95 travaille avec l’ARS Île-de-France et les Départements de médecine générale afin d’accompagner le déploiement du dispositif. Une task force départementale a été constituée pour anticiper les difficultés organisationnelles et soutenir concrètement les MSU et structures d’accueil. Les médecins intéressés peuvent contacter le secrétariat du CDOM 95 ou leur département universitaire de médecine générale</w:t>
      </w:r>
      <w:r w:rsidRPr="009B5E55">
        <w:rPr>
          <w:b/>
          <w:bCs/>
        </w:rPr>
        <w:t>.</w:t>
      </w:r>
    </w:p>
    <w:p w14:paraId="67298B4D" w14:textId="63B6E1F7" w:rsidR="00513168" w:rsidRPr="00513168" w:rsidRDefault="00513168" w:rsidP="00513168">
      <w:pPr>
        <w:rPr>
          <w:b/>
          <w:bCs/>
        </w:rPr>
      </w:pPr>
      <w:r w:rsidRPr="009B5E55">
        <w:rPr>
          <w:b/>
          <w:bCs/>
        </w:rPr>
        <w:t>Dr David Jennah</w:t>
      </w:r>
    </w:p>
    <w:p w14:paraId="030E41E5" w14:textId="77777777" w:rsidR="00513168" w:rsidRDefault="00513168" w:rsidP="00621C2E">
      <w:pPr>
        <w:jc w:val="both"/>
        <w:rPr>
          <w:b/>
          <w:bCs/>
          <w:color w:val="4C94D8" w:themeColor="text2" w:themeTint="80"/>
        </w:rPr>
      </w:pPr>
    </w:p>
    <w:p w14:paraId="0B206F18" w14:textId="7B80461A" w:rsidR="00621C2E" w:rsidRDefault="00621C2E" w:rsidP="00621C2E">
      <w:pPr>
        <w:jc w:val="both"/>
        <w:rPr>
          <w:b/>
          <w:bCs/>
          <w:color w:val="4C94D8" w:themeColor="text2" w:themeTint="80"/>
        </w:rPr>
      </w:pPr>
      <w:r w:rsidRPr="00113A33">
        <w:rPr>
          <w:b/>
          <w:bCs/>
          <w:color w:val="4C94D8" w:themeColor="text2" w:themeTint="80"/>
        </w:rPr>
        <w:t>PORTRAIT</w:t>
      </w:r>
    </w:p>
    <w:p w14:paraId="35DCAD04" w14:textId="77777777" w:rsidR="00621C2E" w:rsidRPr="00C650A3" w:rsidRDefault="00621C2E" w:rsidP="00621C2E">
      <w:pPr>
        <w:rPr>
          <w:b/>
          <w:bCs/>
        </w:rPr>
      </w:pPr>
      <w:r w:rsidRPr="00C650A3">
        <w:rPr>
          <w:b/>
          <w:bCs/>
        </w:rPr>
        <w:t>Dr Aurélie Lemaire : « Les planètes se sont alignées pour cette installation »</w:t>
      </w:r>
    </w:p>
    <w:p w14:paraId="6DE63F67" w14:textId="77777777" w:rsidR="00621C2E" w:rsidRPr="00C650A3" w:rsidRDefault="00621C2E" w:rsidP="00621C2E">
      <w:r w:rsidRPr="00C650A3">
        <w:t>Lorsqu'elle découvre les locaux flambant neufs de la maison de santé d’Éragny, le Dr Aurélie Lemaire se projette immédiatement. « Je ne pensais pas forcément m’installer dans ma ville, mais tout s’est aligné », raconte-t-elle. Pneumo-pédiatre et allergologue, son profil est unique dans le Val-d’Oise. Depuis février 2026, elle partage donc son activité entre son cabinet libéral – deux jours par semaine – et son poste de praticienne hospitalière à Poissy. Un choix dicté autant par les besoins du territoire que par une recherche d’équilibre personnel. « Pour la première fois depuis quinze ans, je peux accompagner mes enfants à l’école le matin. » Mère de quatre enfants, elle évoque sans détour l’usure accumulée à l’hôpital : gardes répétées, crises sanitaires, fermetures de services faute de médecins, tensions croissantes avec certains patients. « Je ne voulais plus être submergée. »</w:t>
      </w:r>
    </w:p>
    <w:p w14:paraId="351B412A" w14:textId="77777777" w:rsidR="00621C2E" w:rsidRPr="00C650A3" w:rsidRDefault="00621C2E" w:rsidP="00621C2E">
      <w:r w:rsidRPr="00C650A3">
        <w:t>L’installation n’a pourtant rien eu d’un long fleuve tranquille. Aucun soutien financier spécifique, des prêts bancaires difficiles à obtenir pour une activité à mi-temps : pour acheter son matériel - notamment l’équipement d’exploration fonctionnelle respiratoire - elle a dû s’appuyer sur un prêt familial de 30 000 euros. « C’était un peu angoissant." Malgré cela, le pari a été immédiatement gagnant : agenda rempli dès l’ouverture et sur deux mois, patients adressés par les confrères du secteur et même par les urgences de Pontoise. La mairie d’Éragny a relayé son arrivée sur ses réseaux sociaux, suscitant un fort intérêt local. « J’ai été frappée par la bienveillance des confrères et par la reconnaissance des patients. »</w:t>
      </w:r>
    </w:p>
    <w:p w14:paraId="719FADB7" w14:textId="77777777" w:rsidR="00621C2E" w:rsidRPr="00C650A3" w:rsidRDefault="00621C2E" w:rsidP="00621C2E">
      <w:r w:rsidRPr="00C650A3">
        <w:t>Si le libéral lui apporte davantage de souplesse et de sérénité, il n’est pas question pour elle de quitter l’hôpital. « J’ai grandi dans une famille très investie dans le service public. Je n’ai pas fait médecine uniquement pour ceux qui ont les moyens de se soigner. » Elle reste attachée au travail en équipe et à la dimension généraliste de la pédiatrie hospitalière, qui lui permet de conserver « une vision globale de l’enfant ». Garder un pied à l’hôpital lui semble aussi précieux pour ses jeunes patients : son réseau hospitalier facilite l’accès à des examens spécialisés et à des avis experts. Aujourd’hui, elle estime avoir trouvé un équilibre « agréable mais fragile ». Une certitude néanmoins : « Je ne me laisserai plus engloutir par les difficultés de l’hôpital. »</w:t>
      </w:r>
    </w:p>
    <w:p w14:paraId="1BD05127" w14:textId="63A69E6A" w:rsidR="00621C2E" w:rsidRPr="00C650A3" w:rsidRDefault="00621C2E" w:rsidP="00621C2E">
      <w:pPr>
        <w:rPr>
          <w:b/>
          <w:bCs/>
        </w:rPr>
      </w:pPr>
      <w:r w:rsidRPr="00C650A3">
        <w:rPr>
          <w:b/>
          <w:bCs/>
        </w:rPr>
        <w:t>Par Nathalie Chahine </w:t>
      </w:r>
    </w:p>
    <w:p w14:paraId="25C94556" w14:textId="77777777" w:rsidR="00621C2E" w:rsidRDefault="00621C2E" w:rsidP="00621C2E">
      <w:pPr>
        <w:rPr>
          <w:b/>
          <w:bCs/>
          <w:color w:val="77206D" w:themeColor="accent5" w:themeShade="BF"/>
        </w:rPr>
      </w:pPr>
    </w:p>
    <w:p w14:paraId="7495C3CE" w14:textId="3085B85D" w:rsidR="00621C2E" w:rsidRDefault="00621C2E" w:rsidP="00621C2E">
      <w:pPr>
        <w:rPr>
          <w:b/>
          <w:bCs/>
          <w:color w:val="77206D" w:themeColor="accent5" w:themeShade="BF"/>
        </w:rPr>
      </w:pPr>
      <w:r w:rsidRPr="00113A33">
        <w:rPr>
          <w:b/>
          <w:bCs/>
          <w:color w:val="77206D" w:themeColor="accent5" w:themeShade="BF"/>
        </w:rPr>
        <w:lastRenderedPageBreak/>
        <w:t>ACTUALITE</w:t>
      </w:r>
    </w:p>
    <w:p w14:paraId="4424A327" w14:textId="77777777" w:rsidR="00621C2E" w:rsidRPr="000B0139" w:rsidRDefault="00621C2E" w:rsidP="00621C2E">
      <w:pPr>
        <w:rPr>
          <w:b/>
          <w:bCs/>
        </w:rPr>
      </w:pPr>
      <w:r w:rsidRPr="000B0139">
        <w:rPr>
          <w:b/>
          <w:bCs/>
        </w:rPr>
        <w:t>Lisa Forever : la course solidaire</w:t>
      </w:r>
    </w:p>
    <w:p w14:paraId="4C93DE4B" w14:textId="77777777" w:rsidR="00621C2E" w:rsidRPr="004D751F" w:rsidRDefault="00621C2E" w:rsidP="00621C2E">
      <w:r w:rsidRPr="004D751F">
        <w:t>Le 31 mai prochain, l’association Lisa Forever organise la 10e édition de sa course et marche solidaires, au cœur de la forêt de Taverny. Cet événement, désormais bien ancré dans le paysage local, vise à soutenir la lutte contre le cancer pédiatrique en mobilisant professionnels de santé, patients et grand public.</w:t>
      </w:r>
    </w:p>
    <w:p w14:paraId="7225D314" w14:textId="0810CAF0" w:rsidR="00621C2E" w:rsidRDefault="00621C2E" w:rsidP="00621C2E">
      <w:r w:rsidRPr="004D751F">
        <w:t>Deux formats sont proposés : une marche de 5 km et une course de 10 km. Le principe repose sur une dynamique participative : pour valider leur inscription, les participants s’engagent à collecter des dons, à hauteur de 50 € pour la marche et 100 € pour la course, en sollicitant leur entourage. Les inscriptions s’effectuent en ligne.</w:t>
      </w:r>
      <w:r>
        <w:t xml:space="preserve"> </w:t>
      </w:r>
      <w:r w:rsidRPr="004D751F">
        <w:t xml:space="preserve">Lors de l’édition 2024, 175 000 € ont ainsi été récoltés au profit de la recherche et de l’accompagnement des enfants malades. </w:t>
      </w:r>
    </w:p>
    <w:p w14:paraId="301F8BA5" w14:textId="77777777" w:rsidR="00621C2E" w:rsidRDefault="00621C2E" w:rsidP="00621C2E">
      <w:r>
        <w:t xml:space="preserve">Pour s’inscrire : </w:t>
      </w:r>
      <w:hyperlink r:id="rId4" w:history="1">
        <w:r w:rsidRPr="004C4CED">
          <w:rPr>
            <w:rStyle w:val="Lienhypertexte"/>
          </w:rPr>
          <w:t>https://www.lisaforever.org</w:t>
        </w:r>
      </w:hyperlink>
      <w:r>
        <w:t xml:space="preserve"> </w:t>
      </w:r>
    </w:p>
    <w:p w14:paraId="66C0F14B" w14:textId="77777777" w:rsidR="00621C2E" w:rsidRDefault="00621C2E" w:rsidP="00621C2E">
      <w:pPr>
        <w:jc w:val="both"/>
        <w:rPr>
          <w:b/>
          <w:bCs/>
          <w:color w:val="4C94D8" w:themeColor="text2" w:themeTint="80"/>
        </w:rPr>
      </w:pPr>
    </w:p>
    <w:p w14:paraId="577878DE" w14:textId="77777777" w:rsidR="00621C2E" w:rsidRDefault="00621C2E" w:rsidP="00621C2E">
      <w:pPr>
        <w:jc w:val="both"/>
        <w:rPr>
          <w:b/>
          <w:bCs/>
          <w:color w:val="124F1A" w:themeColor="accent3" w:themeShade="BF"/>
        </w:rPr>
      </w:pPr>
      <w:r w:rsidRPr="00113A33">
        <w:rPr>
          <w:b/>
          <w:bCs/>
          <w:color w:val="124F1A" w:themeColor="accent3" w:themeShade="BF"/>
        </w:rPr>
        <w:t>AFFAIRES DISCIPLINAIRES</w:t>
      </w:r>
    </w:p>
    <w:p w14:paraId="3F5B9992" w14:textId="77777777" w:rsidR="00621C2E" w:rsidRDefault="00621C2E" w:rsidP="00621C2E">
      <w:pPr>
        <w:rPr>
          <w:b/>
          <w:bCs/>
        </w:rPr>
      </w:pPr>
      <w:r>
        <w:rPr>
          <w:b/>
          <w:bCs/>
        </w:rPr>
        <w:t>Geste mal interprété lors d’une consultation</w:t>
      </w:r>
    </w:p>
    <w:p w14:paraId="381F5DF7" w14:textId="7525D9C2" w:rsidR="00621C2E" w:rsidRDefault="00621C2E" w:rsidP="00621C2E">
      <w:r>
        <w:rPr>
          <w:b/>
          <w:bCs/>
        </w:rPr>
        <w:t xml:space="preserve">Les faits : </w:t>
      </w:r>
      <w:r>
        <w:t>Mme A porte plainte contre le Dr J., médecin généraliste, pour agression sexuelle, suite à une palpation inguinale dans le cadre du diagnostic d’un fécalome. L</w:t>
      </w:r>
      <w:r w:rsidRPr="000B0139">
        <w:t xml:space="preserve">e praticien admet que </w:t>
      </w:r>
      <w:r>
        <w:t>ce geste</w:t>
      </w:r>
      <w:r w:rsidRPr="000B0139">
        <w:t xml:space="preserve"> qu’il pratique couramment notamment à l’égard de patients âgés résidant en maison de retraite, a pu être mal interprétée par Mme A en raison d’un déficit d’explications de sa part. </w:t>
      </w:r>
      <w:r>
        <w:t xml:space="preserve">  </w:t>
      </w:r>
    </w:p>
    <w:p w14:paraId="2664A419" w14:textId="77777777" w:rsidR="00621C2E" w:rsidRDefault="00621C2E" w:rsidP="00621C2E">
      <w:r w:rsidRPr="000B0139">
        <w:rPr>
          <w:b/>
          <w:bCs/>
        </w:rPr>
        <w:t>Les manquements déontologiques</w:t>
      </w:r>
      <w:r>
        <w:t xml:space="preserve"> : </w:t>
      </w:r>
      <w:r w:rsidRPr="000B0139">
        <w:t>L’article R. 4127-35 du code de la santé publique prévoit que « Le médecin doit à la personne qu'il examine, qu'il soigne ou qu'il conseille une information loyale, claire et appropriée sur son état, les investigations et les soins qu'il lui propose (…).</w:t>
      </w:r>
      <w:r>
        <w:t xml:space="preserve"> En revanche, ni</w:t>
      </w:r>
      <w:r w:rsidRPr="00E325C0">
        <w:t xml:space="preserve"> les pièces du dossier ni les débats lors de l’audience publique devant la chambre n’ont permis d’établir qu’en procédant à ce dernier geste, le Dr J aurait également touché le sexe de Mme A de telle sorte qu’une agression sexuelle ne peut être caractérisée.</w:t>
      </w:r>
    </w:p>
    <w:p w14:paraId="7DF824FA" w14:textId="77777777" w:rsidR="00621C2E" w:rsidRDefault="00621C2E" w:rsidP="00621C2E">
      <w:r w:rsidRPr="000B0139">
        <w:rPr>
          <w:b/>
          <w:bCs/>
        </w:rPr>
        <w:t>La sanction</w:t>
      </w:r>
      <w:r>
        <w:t xml:space="preserve"> : le médecin a reçu un avertissement. </w:t>
      </w:r>
    </w:p>
    <w:p w14:paraId="2AE57238" w14:textId="77777777" w:rsidR="00621C2E" w:rsidRPr="00113A33" w:rsidRDefault="00621C2E" w:rsidP="00621C2E">
      <w:pPr>
        <w:jc w:val="both"/>
        <w:rPr>
          <w:b/>
          <w:bCs/>
          <w:color w:val="124F1A" w:themeColor="accent3" w:themeShade="BF"/>
        </w:rPr>
      </w:pPr>
    </w:p>
    <w:p w14:paraId="054BFB8E" w14:textId="77777777" w:rsidR="00621C2E" w:rsidRDefault="00621C2E" w:rsidP="00621C2E">
      <w:pP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3705CB" w14:textId="77777777" w:rsidR="00BA5A54" w:rsidRDefault="00BA5A54"/>
    <w:sectPr w:rsidR="00BA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2E"/>
    <w:rsid w:val="00107FF4"/>
    <w:rsid w:val="0019148E"/>
    <w:rsid w:val="004D2147"/>
    <w:rsid w:val="00513168"/>
    <w:rsid w:val="00621C2E"/>
    <w:rsid w:val="00BA5A54"/>
    <w:rsid w:val="00F81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BB42"/>
  <w15:chartTrackingRefBased/>
  <w15:docId w15:val="{ADA59240-BE07-4D99-8A2C-54F379C8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2E"/>
  </w:style>
  <w:style w:type="paragraph" w:styleId="Titre1">
    <w:name w:val="heading 1"/>
    <w:basedOn w:val="Normal"/>
    <w:next w:val="Normal"/>
    <w:link w:val="Titre1Car"/>
    <w:uiPriority w:val="9"/>
    <w:qFormat/>
    <w:rsid w:val="00621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1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1C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1C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1C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1C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1C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1C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1C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1C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1C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1C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1C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1C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1C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1C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1C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1C2E"/>
    <w:rPr>
      <w:rFonts w:eastAsiaTheme="majorEastAsia" w:cstheme="majorBidi"/>
      <w:color w:val="272727" w:themeColor="text1" w:themeTint="D8"/>
    </w:rPr>
  </w:style>
  <w:style w:type="paragraph" w:styleId="Titre">
    <w:name w:val="Title"/>
    <w:basedOn w:val="Normal"/>
    <w:next w:val="Normal"/>
    <w:link w:val="TitreCar"/>
    <w:uiPriority w:val="10"/>
    <w:qFormat/>
    <w:rsid w:val="00621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1C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1C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1C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1C2E"/>
    <w:pPr>
      <w:spacing w:before="160"/>
      <w:jc w:val="center"/>
    </w:pPr>
    <w:rPr>
      <w:i/>
      <w:iCs/>
      <w:color w:val="404040" w:themeColor="text1" w:themeTint="BF"/>
    </w:rPr>
  </w:style>
  <w:style w:type="character" w:customStyle="1" w:styleId="CitationCar">
    <w:name w:val="Citation Car"/>
    <w:basedOn w:val="Policepardfaut"/>
    <w:link w:val="Citation"/>
    <w:uiPriority w:val="29"/>
    <w:rsid w:val="00621C2E"/>
    <w:rPr>
      <w:i/>
      <w:iCs/>
      <w:color w:val="404040" w:themeColor="text1" w:themeTint="BF"/>
    </w:rPr>
  </w:style>
  <w:style w:type="paragraph" w:styleId="Paragraphedeliste">
    <w:name w:val="List Paragraph"/>
    <w:basedOn w:val="Normal"/>
    <w:uiPriority w:val="34"/>
    <w:qFormat/>
    <w:rsid w:val="00621C2E"/>
    <w:pPr>
      <w:ind w:left="720"/>
      <w:contextualSpacing/>
    </w:pPr>
  </w:style>
  <w:style w:type="character" w:styleId="Accentuationintense">
    <w:name w:val="Intense Emphasis"/>
    <w:basedOn w:val="Policepardfaut"/>
    <w:uiPriority w:val="21"/>
    <w:qFormat/>
    <w:rsid w:val="00621C2E"/>
    <w:rPr>
      <w:i/>
      <w:iCs/>
      <w:color w:val="0F4761" w:themeColor="accent1" w:themeShade="BF"/>
    </w:rPr>
  </w:style>
  <w:style w:type="paragraph" w:styleId="Citationintense">
    <w:name w:val="Intense Quote"/>
    <w:basedOn w:val="Normal"/>
    <w:next w:val="Normal"/>
    <w:link w:val="CitationintenseCar"/>
    <w:uiPriority w:val="30"/>
    <w:qFormat/>
    <w:rsid w:val="00621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1C2E"/>
    <w:rPr>
      <w:i/>
      <w:iCs/>
      <w:color w:val="0F4761" w:themeColor="accent1" w:themeShade="BF"/>
    </w:rPr>
  </w:style>
  <w:style w:type="character" w:styleId="Rfrenceintense">
    <w:name w:val="Intense Reference"/>
    <w:basedOn w:val="Policepardfaut"/>
    <w:uiPriority w:val="32"/>
    <w:qFormat/>
    <w:rsid w:val="00621C2E"/>
    <w:rPr>
      <w:b/>
      <w:bCs/>
      <w:smallCaps/>
      <w:color w:val="0F4761" w:themeColor="accent1" w:themeShade="BF"/>
      <w:spacing w:val="5"/>
    </w:rPr>
  </w:style>
  <w:style w:type="character" w:styleId="Lienhypertexte">
    <w:name w:val="Hyperlink"/>
    <w:basedOn w:val="Policepardfaut"/>
    <w:uiPriority w:val="99"/>
    <w:unhideWhenUsed/>
    <w:rsid w:val="00621C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saforever.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1258</Words>
  <Characters>6922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cp:revision>
  <dcterms:created xsi:type="dcterms:W3CDTF">2026-05-17T12:52:00Z</dcterms:created>
  <dcterms:modified xsi:type="dcterms:W3CDTF">2026-05-19T06:41:00Z</dcterms:modified>
</cp:coreProperties>
</file>