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A388" w14:textId="4CEE60E6" w:rsidR="00113A33" w:rsidRPr="00F414DC" w:rsidRDefault="00113A33" w:rsidP="00113A33">
      <w:pP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avril </w:t>
      </w:r>
      <w:r w:rsidRP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782CB82D" w14:textId="1E0F48FC" w:rsidR="00113A33" w:rsidRDefault="00113A33" w:rsidP="00113A33">
      <w:pP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175956A5" w14:textId="77777777" w:rsidR="00113A33" w:rsidRPr="00113A33" w:rsidRDefault="00113A33" w:rsidP="00113A33">
      <w:pP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E51FAB" w14:textId="78F55E39" w:rsidR="00113A33" w:rsidRPr="00113A33" w:rsidRDefault="00113A33" w:rsidP="00396E66">
      <w:pPr>
        <w:jc w:val="both"/>
        <w:rPr>
          <w:b/>
          <w:bCs/>
          <w:color w:val="77206D" w:themeColor="accent5" w:themeShade="BF"/>
        </w:rPr>
      </w:pPr>
      <w:r w:rsidRPr="00113A33">
        <w:rPr>
          <w:b/>
          <w:bCs/>
          <w:color w:val="77206D" w:themeColor="accent5" w:themeShade="BF"/>
        </w:rPr>
        <w:t xml:space="preserve">ACTUALITE </w:t>
      </w:r>
    </w:p>
    <w:p w14:paraId="59930A0C" w14:textId="77777777" w:rsidR="00113A33" w:rsidRDefault="00113A33" w:rsidP="00396E66">
      <w:pPr>
        <w:jc w:val="both"/>
      </w:pPr>
      <w:r>
        <w:rPr>
          <w:b/>
          <w:bCs/>
        </w:rPr>
        <w:t>L’</w:t>
      </w:r>
      <w:r w:rsidRPr="00847C62">
        <w:rPr>
          <w:b/>
          <w:bCs/>
        </w:rPr>
        <w:t>essor préoccupant des fraudes massives</w:t>
      </w:r>
      <w:r w:rsidRPr="00113A33">
        <w:t xml:space="preserve"> </w:t>
      </w:r>
    </w:p>
    <w:p w14:paraId="60FC9EB0" w14:textId="40E0688B" w:rsidR="00113A33" w:rsidRDefault="00113A33" w:rsidP="00396E66">
      <w:pPr>
        <w:jc w:val="both"/>
        <w:rPr>
          <w:b/>
          <w:bCs/>
        </w:rPr>
      </w:pPr>
      <w:r>
        <w:t xml:space="preserve">Une </w:t>
      </w:r>
      <w:r w:rsidRPr="00847C62">
        <w:t xml:space="preserve">enquête de France Inter (Radio France), relayée par </w:t>
      </w:r>
      <w:proofErr w:type="spellStart"/>
      <w:r w:rsidRPr="00847C62">
        <w:t>Franceinfo</w:t>
      </w:r>
      <w:proofErr w:type="spellEnd"/>
      <w:r>
        <w:t xml:space="preserve"> en avril 2026* (</w:t>
      </w:r>
      <w:r w:rsidRPr="00113A33">
        <w:rPr>
          <w:i/>
          <w:iCs/>
        </w:rPr>
        <w:t>merci d’insérer le lien en bas d’article</w:t>
      </w:r>
      <w:r>
        <w:t>),</w:t>
      </w:r>
      <w:r w:rsidRPr="00847C62">
        <w:t xml:space="preserve"> met en évidence une fraude d’ampleur au sein de certains centres de santé, notamment en dentaire et en ophtalmologie.</w:t>
      </w:r>
    </w:p>
    <w:p w14:paraId="5660AF49" w14:textId="77777777" w:rsidR="00113A33" w:rsidRPr="00847C62" w:rsidRDefault="00113A33" w:rsidP="00396E66">
      <w:pPr>
        <w:jc w:val="both"/>
        <w:rPr>
          <w:b/>
          <w:bCs/>
        </w:rPr>
      </w:pPr>
      <w:r w:rsidRPr="00847C62">
        <w:rPr>
          <w:b/>
          <w:bCs/>
        </w:rPr>
        <w:t>1. Une fraude systémique et structurée</w:t>
      </w:r>
    </w:p>
    <w:p w14:paraId="56316C31" w14:textId="5DC69F7E" w:rsidR="00113A33" w:rsidRPr="00847C62" w:rsidRDefault="00113A33" w:rsidP="00396E66">
      <w:pPr>
        <w:jc w:val="both"/>
      </w:pPr>
      <w:r w:rsidRPr="00847C62">
        <w:t xml:space="preserve">Parmi les dossiers emblématiques, Alliance Vision (réseau d’ophtalmologie) a fait l’objet d’enquêtes pour pratiques de facturation irrégulières et organisation contestée des soins. </w:t>
      </w:r>
      <w:proofErr w:type="spellStart"/>
      <w:r w:rsidRPr="00847C62">
        <w:t>Proxidentaire</w:t>
      </w:r>
      <w:proofErr w:type="spellEnd"/>
      <w:r w:rsidRPr="00847C62">
        <w:t>, réseau de centres dentaires, a été impliqué dans plusieurs procédures pour suspicion de surfacturation et dysfonctionnements structurels.</w:t>
      </w:r>
      <w:r>
        <w:t xml:space="preserve"> L’enquête pointe aussi les malversations du groupe de santé mutualiste Avec, dont le dirigeant sera jugé en septembre 2026 pour détournement de fonds. </w:t>
      </w:r>
      <w:r w:rsidRPr="00847C62">
        <w:t xml:space="preserve">Ces affaires illustrent des montages où certaines structures, parfois associatives en apparence, sont utilisées à des fins lucratives, avec des préjudices chiffrés à plusieurs </w:t>
      </w:r>
      <w:r>
        <w:t xml:space="preserve">dizaines de </w:t>
      </w:r>
      <w:r w:rsidRPr="00847C62">
        <w:t>millions d’euros.</w:t>
      </w:r>
    </w:p>
    <w:p w14:paraId="41108A7D" w14:textId="77777777" w:rsidR="00113A33" w:rsidRPr="00847C62" w:rsidRDefault="00113A33" w:rsidP="00396E66">
      <w:pPr>
        <w:jc w:val="both"/>
        <w:rPr>
          <w:b/>
          <w:bCs/>
        </w:rPr>
      </w:pPr>
      <w:r w:rsidRPr="00847C62">
        <w:rPr>
          <w:b/>
          <w:bCs/>
        </w:rPr>
        <w:t>2. Centres fictifs et extension aux complémentaires</w:t>
      </w:r>
    </w:p>
    <w:p w14:paraId="329DAC76" w14:textId="77777777" w:rsidR="00113A33" w:rsidRDefault="00113A33" w:rsidP="00396E66">
      <w:pPr>
        <w:jc w:val="both"/>
      </w:pPr>
      <w:r w:rsidRPr="00847C62">
        <w:t>L’enquête met en lumière une évolution préoccupante : l’apparition de centres « 100 % fictifs », sans activité réelle, destinés uniquement à générer des remboursements.</w:t>
      </w:r>
      <w:r>
        <w:t xml:space="preserve"> </w:t>
      </w:r>
      <w:r w:rsidRPr="00847C62">
        <w:t xml:space="preserve">Parallèlement, les fraudes s’étendent aux complémentaires santé, permettant un cumul des remboursements </w:t>
      </w:r>
      <w:r>
        <w:t xml:space="preserve"> </w:t>
      </w:r>
      <w:r w:rsidRPr="00847C62">
        <w:t xml:space="preserve"> et rendant les circuits financiers plus complexes à contrôler.</w:t>
      </w:r>
      <w:r>
        <w:t xml:space="preserve"> </w:t>
      </w:r>
      <w:r w:rsidRPr="00847C62">
        <w:t>Sur le plan pénal, plusieurs dossiers ont donné lieu à des mises en examen pour escroquerie en bande organisée, blanchiment et faux, avec fermetures de centres, placements sous contrôle judiciaire ou en détention provisoire.</w:t>
      </w:r>
    </w:p>
    <w:p w14:paraId="65EDF68B" w14:textId="77777777" w:rsidR="00113A33" w:rsidRPr="00847C62" w:rsidRDefault="00113A33" w:rsidP="00396E66">
      <w:pPr>
        <w:jc w:val="both"/>
        <w:rPr>
          <w:b/>
          <w:bCs/>
        </w:rPr>
      </w:pPr>
      <w:r w:rsidRPr="00847C62">
        <w:rPr>
          <w:b/>
          <w:bCs/>
        </w:rPr>
        <w:t>3. Réponse publique et enjeux pour le système de soins</w:t>
      </w:r>
    </w:p>
    <w:p w14:paraId="75181DDE" w14:textId="77777777" w:rsidR="00113A33" w:rsidRDefault="00113A33" w:rsidP="00396E66">
      <w:pPr>
        <w:jc w:val="both"/>
      </w:pPr>
      <w:r w:rsidRPr="00847C62">
        <w:t xml:space="preserve">Face à ces dérives, l’Assurance maladie et les autorités judiciaires ont renforcé les contrôles : </w:t>
      </w:r>
      <w:proofErr w:type="spellStart"/>
      <w:r w:rsidRPr="00847C62">
        <w:t>déconventionnements</w:t>
      </w:r>
      <w:proofErr w:type="spellEnd"/>
      <w:r w:rsidRPr="00847C62">
        <w:t xml:space="preserve"> accélérés, sanctions financières et meilleure coordination avec les complémentaires.</w:t>
      </w:r>
      <w:r>
        <w:t xml:space="preserve"> En outre,</w:t>
      </w:r>
      <w:r w:rsidRPr="00847C62">
        <w:t xml:space="preserve"> la loi Khattabi de 2023 a rétabli l’agrément préalable supprimé par la loi Bachelot. Pour ouvrir un centre, il faut </w:t>
      </w:r>
      <w:r>
        <w:t xml:space="preserve">désormais </w:t>
      </w:r>
      <w:r w:rsidRPr="00847C62">
        <w:t>notamment fournir aux Agences régionales de santé (ARS) les diplômes des praticiens et leurs contrats de travail.</w:t>
      </w:r>
      <w:r>
        <w:t xml:space="preserve"> </w:t>
      </w:r>
      <w:r w:rsidRPr="00847C62">
        <w:t xml:space="preserve">Le cadre législatif évolue ainsi vers un encadrement plus strict : contrôle des structures gestionnaires, transparence accrue, traçabilité des actes et sécurisation des flux financiers. </w:t>
      </w:r>
    </w:p>
    <w:p w14:paraId="393EB2A7" w14:textId="77777777" w:rsidR="00113A33" w:rsidRDefault="00113A33" w:rsidP="00396E66">
      <w:pPr>
        <w:jc w:val="both"/>
      </w:pPr>
      <w:r w:rsidRPr="00847C62">
        <w:t>Reste que les escroqueries sont de plus en plus élaborées et les fraudeurs inventifs.</w:t>
      </w:r>
      <w:r>
        <w:t xml:space="preserve"> </w:t>
      </w:r>
      <w:r w:rsidRPr="00847C62">
        <w:t>L’enjeu est double : protéger les finances publiques et préserver la confiance dans les centres de santé, essentiels à l’accès aux soins. Cette enquête, par son sérieux et l’ampleur des dossiers cités, confirme le caractère désormais systémique de la fraude et appelle à une vigilance renforcée des professionnels.</w:t>
      </w:r>
    </w:p>
    <w:p w14:paraId="1FEBF8BB" w14:textId="404DECA3" w:rsidR="00113A33" w:rsidRDefault="00113A33" w:rsidP="00396E66">
      <w:pPr>
        <w:jc w:val="both"/>
      </w:pPr>
      <w:r>
        <w:t>*</w:t>
      </w:r>
      <w:hyperlink r:id="rId5" w:history="1">
        <w:r w:rsidRPr="00E53D82">
          <w:rPr>
            <w:rStyle w:val="Lienhypertexte"/>
          </w:rPr>
          <w:t>https://www.radiofrance.fr/recherche?q=hold+up+sur+la+sant%C3%A9&amp;results=true</w:t>
        </w:r>
      </w:hyperlink>
      <w:r>
        <w:t xml:space="preserve"> </w:t>
      </w:r>
    </w:p>
    <w:p w14:paraId="40F24C4B" w14:textId="77777777" w:rsidR="00396E66" w:rsidRDefault="00396E66" w:rsidP="00396E66">
      <w:pPr>
        <w:jc w:val="both"/>
      </w:pPr>
    </w:p>
    <w:p w14:paraId="05B74C84" w14:textId="331B5594" w:rsidR="00081E15" w:rsidRPr="00081E15" w:rsidRDefault="00113A33" w:rsidP="00113A33">
      <w:pPr>
        <w:rPr>
          <w:b/>
          <w:bCs/>
        </w:rPr>
      </w:pPr>
      <w:r>
        <w:rPr>
          <w:b/>
          <w:bCs/>
        </w:rPr>
        <w:lastRenderedPageBreak/>
        <w:t>CRISE ORDINALE</w:t>
      </w:r>
      <w:r w:rsidRPr="00B62927">
        <w:rPr>
          <w:b/>
          <w:bCs/>
        </w:rPr>
        <w:t xml:space="preserve"> : garantir la transparence</w:t>
      </w:r>
    </w:p>
    <w:p w14:paraId="4823C2CC" w14:textId="77777777" w:rsidR="005F4B26" w:rsidRPr="005F4B26" w:rsidRDefault="005F4B26" w:rsidP="005F4B26">
      <w:r w:rsidRPr="005F4B26">
        <w:t>Il n’aura échappé à aucun confrère que l’institution ordinale traverse actuellement une période de turbulence, à la suite du rapport de l’Inspection Générale des Finances et des décisions qui en ont découlé, notamment la dissolution du conseil départemental de Paris. Les dérives factuelles relevées appellent une vigilance accrue et une exigence de clarification. Pour autant, ces constats ne sauraient être extrapolés à l’ensemble des conseils départementaux, dont l’immense majorité poursuit ses missions avec rigueur et engagement.</w:t>
      </w:r>
    </w:p>
    <w:p w14:paraId="1EF4F097" w14:textId="77777777" w:rsidR="005F4B26" w:rsidRPr="005F4B26" w:rsidRDefault="005F4B26" w:rsidP="005F4B26">
      <w:r w:rsidRPr="005F4B26">
        <w:rPr>
          <w:b/>
          <w:bCs/>
        </w:rPr>
        <w:t>Un rapport à analyser avec nuance</w:t>
      </w:r>
    </w:p>
    <w:p w14:paraId="35BE9A96" w14:textId="77777777" w:rsidR="005F4B26" w:rsidRPr="005F4B26" w:rsidRDefault="005F4B26" w:rsidP="005F4B26">
      <w:r w:rsidRPr="005F4B26">
        <w:t>Il faut noter que le rapport de l’IGF, tout en rapportant des éléments factuels et vérifiés, comporte également des erreurs juridiques, méthodologiques et des généralisations excessives. Le CNOM reconnaît une activité de contrôle inégale et perfectible, mais indique avoir engagé des mesures depuis 2022, renforcées en 2025, pour y remédier. Le rapport souligne par ailleurs plusieurs éléments positifs : qualité satisfaisante des procédures d’inscription, fiabilité des données, cadre normatif conforme, gestion rigoureuse de la comptabilité et respect de la séparation des fonctions d’ordonnateur et de comptable.</w:t>
      </w:r>
    </w:p>
    <w:p w14:paraId="6C3D3C23" w14:textId="77777777" w:rsidR="005F4B26" w:rsidRPr="005F4B26" w:rsidRDefault="005F4B26" w:rsidP="005F4B26">
      <w:r w:rsidRPr="005F4B26">
        <w:rPr>
          <w:b/>
          <w:bCs/>
        </w:rPr>
        <w:t>Une dynamique de réforme engagée</w:t>
      </w:r>
    </w:p>
    <w:p w14:paraId="04390E25" w14:textId="77777777" w:rsidR="005F4B26" w:rsidRPr="005F4B26" w:rsidRDefault="005F4B26" w:rsidP="005F4B26">
      <w:r w:rsidRPr="005F4B26">
        <w:t>Depuis juin 2025, la nouvelle gouvernance du CNOM a engagé une modernisation de l’institution autour de plusieurs axes stratégiques : harmonisation des règles de gestion financière et comptable à l’horizon 2027 ; professionnalisation du recrutement et harmonisation des grilles salariales ; renforcement des procédures de commande publique ; révision du règlement intérieur pour garantir la probité des élus ; renforcement de l’action pénale et disciplinaire.</w:t>
      </w:r>
    </w:p>
    <w:p w14:paraId="1BE045A2" w14:textId="77777777" w:rsidR="005F4B26" w:rsidRPr="005F4B26" w:rsidRDefault="005F4B26" w:rsidP="005F4B26">
      <w:r w:rsidRPr="005F4B26">
        <w:rPr>
          <w:b/>
          <w:bCs/>
        </w:rPr>
        <w:t>Modernisation et engagements concrets</w:t>
      </w:r>
    </w:p>
    <w:p w14:paraId="05DC276E" w14:textId="73944A9C" w:rsidR="005F4B26" w:rsidRPr="005F4B26" w:rsidRDefault="005F4B26" w:rsidP="005F4B26">
      <w:r w:rsidRPr="005F4B26">
        <w:t>Cette transformation s’accompagne d’une modernisation des outils et d’engagements tangibles : dématérialisation des processus et simplification des démarches ; développement d’une application mobile pour les médecins (prévue en 2026) ; centralisation de la gestion des inscriptions, transferts et remplacements ; introduction de la signature électronique et préparation au vote électronique.</w:t>
      </w:r>
    </w:p>
    <w:p w14:paraId="69E156B0" w14:textId="77777777" w:rsidR="005F4B26" w:rsidRPr="005F4B26" w:rsidRDefault="005F4B26" w:rsidP="005F4B26">
      <w:r w:rsidRPr="005F4B26">
        <w:rPr>
          <w:b/>
          <w:bCs/>
        </w:rPr>
        <w:t>Dans le Val-d’Oise, transparence et proximité avant tout</w:t>
      </w:r>
    </w:p>
    <w:p w14:paraId="04C792D4" w14:textId="77777777" w:rsidR="005F4B26" w:rsidRPr="005F4B26" w:rsidRDefault="005F4B26" w:rsidP="005F4B26">
      <w:r w:rsidRPr="005F4B26">
        <w:t>Dans le Val-d’Oise, nous souhaitons réaffirmer notre attachement à une gouvernance exemplaire et transparente. Les projets immobiliers évoqués dans le rapport peuvent être présentés, sur demande, à tout confrère qui le souhaite. De même, nos comptes, validés par un expert-comptable et certifiés par un commissaire aux comptes, sont consultables dans un souci constant de clarté. Dans ce contexte, il nous paraît essentiel de maintenir un lien de confiance avec les médecins du département. Le conseil reste pleinement mobilisé à vos côtés pour assurer ses missions de régulation, d’accompagnement, d’indépendance et de défense de la profession, dans le respect des principes déontologiques qui nous rassemblent.</w:t>
      </w:r>
    </w:p>
    <w:p w14:paraId="3FC17AF3" w14:textId="77777777" w:rsidR="00113A33" w:rsidRPr="00391B3A" w:rsidRDefault="00113A33" w:rsidP="00396E66">
      <w:pPr>
        <w:jc w:val="both"/>
        <w:rPr>
          <w:b/>
          <w:bCs/>
        </w:rPr>
      </w:pPr>
      <w:r w:rsidRPr="00391B3A">
        <w:rPr>
          <w:b/>
          <w:bCs/>
        </w:rPr>
        <w:t>Dr Sandrine Duranton</w:t>
      </w:r>
    </w:p>
    <w:p w14:paraId="72DD83A7" w14:textId="77777777" w:rsidR="00113A33" w:rsidRDefault="00113A33" w:rsidP="00396E66">
      <w:pPr>
        <w:jc w:val="both"/>
        <w:rPr>
          <w:b/>
          <w:bCs/>
          <w:color w:val="4C94D8" w:themeColor="text2" w:themeTint="80"/>
        </w:rPr>
      </w:pPr>
    </w:p>
    <w:p w14:paraId="3710E83E" w14:textId="74B22FB7" w:rsidR="00113A33" w:rsidRPr="00113A33" w:rsidRDefault="00113A33" w:rsidP="00396E66">
      <w:pPr>
        <w:jc w:val="both"/>
        <w:rPr>
          <w:b/>
          <w:bCs/>
          <w:color w:val="4C94D8" w:themeColor="text2" w:themeTint="80"/>
        </w:rPr>
      </w:pPr>
      <w:r w:rsidRPr="00113A33">
        <w:rPr>
          <w:b/>
          <w:bCs/>
          <w:color w:val="4C94D8" w:themeColor="text2" w:themeTint="80"/>
        </w:rPr>
        <w:t>PORTRAIT</w:t>
      </w:r>
    </w:p>
    <w:p w14:paraId="2447BAD9" w14:textId="39198E57" w:rsidR="00113A33" w:rsidRPr="002B4668" w:rsidRDefault="00113A33" w:rsidP="00396E66">
      <w:pPr>
        <w:jc w:val="both"/>
        <w:rPr>
          <w:b/>
          <w:bCs/>
        </w:rPr>
      </w:pPr>
      <w:r w:rsidRPr="002B4668">
        <w:rPr>
          <w:b/>
          <w:bCs/>
        </w:rPr>
        <w:t xml:space="preserve">MEDECIN ET MAIRE </w:t>
      </w:r>
      <w:r>
        <w:rPr>
          <w:b/>
          <w:bCs/>
        </w:rPr>
        <w:t xml:space="preserve"> </w:t>
      </w:r>
    </w:p>
    <w:p w14:paraId="6ED7E91A" w14:textId="77777777" w:rsidR="00113A33" w:rsidRPr="003850E6" w:rsidRDefault="00113A33" w:rsidP="00396E66">
      <w:pPr>
        <w:jc w:val="both"/>
        <w:rPr>
          <w:b/>
          <w:bCs/>
        </w:rPr>
      </w:pPr>
      <w:r>
        <w:lastRenderedPageBreak/>
        <w:t xml:space="preserve">Médecin angiologue et maire de Saint Prix durant vingt-cinq ans, le Dr Enjalbert a la protection de l’environnement dans le sang. Interview d’un passionné.  </w:t>
      </w:r>
    </w:p>
    <w:p w14:paraId="6C167537" w14:textId="66A27FC5" w:rsidR="00113A33" w:rsidRPr="00B62927" w:rsidRDefault="00113A33" w:rsidP="00396E66">
      <w:pPr>
        <w:jc w:val="both"/>
      </w:pPr>
      <w:r w:rsidRPr="00B62927">
        <w:rPr>
          <w:b/>
          <w:bCs/>
        </w:rPr>
        <w:t xml:space="preserve">1. </w:t>
      </w:r>
      <w:r>
        <w:rPr>
          <w:b/>
          <w:bCs/>
        </w:rPr>
        <w:t>Comment avait démarré votre aventure municipale</w:t>
      </w:r>
      <w:r w:rsidRPr="00B62927">
        <w:rPr>
          <w:b/>
          <w:bCs/>
        </w:rPr>
        <w:t xml:space="preserve"> ?</w:t>
      </w:r>
      <w:r w:rsidRPr="00B62927">
        <w:br/>
        <w:t>Tout est parti</w:t>
      </w:r>
      <w:r>
        <w:t xml:space="preserve"> </w:t>
      </w:r>
      <w:r w:rsidRPr="00B62927">
        <w:t xml:space="preserve">d’un engagement citoyen très concret : la protection de la forêt de Montmorency et du patrimoine de Saint-Prix, où je vis. À l’époque, je présidais l’association </w:t>
      </w:r>
      <w:r w:rsidRPr="00B62927">
        <w:rPr>
          <w:i/>
          <w:iCs/>
        </w:rPr>
        <w:t>Les Amis du Vieux Village</w:t>
      </w:r>
      <w:r w:rsidRPr="00B62927">
        <w:t xml:space="preserve">. Très vite, j’ai compris que, pour faire avancer les choses, il fallait assumer des responsabilités municipales. En 1995, alors que nous créions la clinique de l’Estrée </w:t>
      </w:r>
      <w:r>
        <w:t xml:space="preserve">à Stains </w:t>
      </w:r>
      <w:r w:rsidRPr="00B62927">
        <w:t xml:space="preserve">avec une équipe de médecins, j’ai franchi le pas. Mon fil conducteur a toujours été le même : l’environnement et la santé publique. S’en sont suivis quatre mandats de maire jusqu’en 2020. J’ai </w:t>
      </w:r>
      <w:r>
        <w:t xml:space="preserve">alors </w:t>
      </w:r>
      <w:r w:rsidRPr="00B62927">
        <w:t xml:space="preserve">choisi de passer la main au nom d’une respiration démocratique – </w:t>
      </w:r>
      <w:r>
        <w:t>et mieux vaut partir quand on vous regrette un peu</w:t>
      </w:r>
      <w:r w:rsidRPr="00B62927">
        <w:t>. À Saint-Prix, petite commune de 7 500 habitants, l’engagement était avant tout local</w:t>
      </w:r>
      <w:r>
        <w:t xml:space="preserve">, </w:t>
      </w:r>
      <w:r w:rsidRPr="00B62927">
        <w:t xml:space="preserve">et </w:t>
      </w:r>
      <w:proofErr w:type="spellStart"/>
      <w:r w:rsidRPr="00B62927">
        <w:t>transpartisan</w:t>
      </w:r>
      <w:proofErr w:type="spellEnd"/>
      <w:r w:rsidRPr="00B62927">
        <w:t>. Aujourd’hui, j’entame mon sixième mandat d’élu, le deuxième comme conseiller municipal.</w:t>
      </w:r>
    </w:p>
    <w:p w14:paraId="349BB90A" w14:textId="77777777" w:rsidR="00113A33" w:rsidRPr="00B62927" w:rsidRDefault="00113A33" w:rsidP="00396E66">
      <w:pPr>
        <w:jc w:val="both"/>
      </w:pPr>
      <w:r w:rsidRPr="00B62927">
        <w:rPr>
          <w:b/>
          <w:bCs/>
        </w:rPr>
        <w:t>2. Comment avez-vous concilié la fonction de maire avec celle de médecin ?</w:t>
      </w:r>
      <w:r w:rsidRPr="00B62927">
        <w:br/>
        <w:t>J’ai toujours cherché un équilibre entre un métier que j’aime profondément et un engagement politique vécu comme une passion. Au départ médecin généraliste, j’ai progressivement orienté mon exercice vers la médecine vasculaire, compatible avec une activité sur rendez-vous et sans urgences. Cela m’a permis de continuer à exercer tout en menant des projets municipaux : rénovation du vieux village, première cantine scolaire bio du Val-d’Oise, collecte des déchets verts avec des chevaux, réintroduction de la vigne</w:t>
      </w:r>
      <w:r>
        <w:t>, sauvetage des hérissons</w:t>
      </w:r>
      <w:r w:rsidRPr="00B62927">
        <w:t>… Autant d’initiatives ancrées dans les enjeux écologiques locaux. La mairie, c’est le terrain, l’expérimentation, et une autre manière de se réaliser.</w:t>
      </w:r>
    </w:p>
    <w:p w14:paraId="55168A6D" w14:textId="1E827A06" w:rsidR="00113A33" w:rsidRPr="00B62927" w:rsidRDefault="00113A33" w:rsidP="00396E66">
      <w:pPr>
        <w:jc w:val="both"/>
      </w:pPr>
      <w:r w:rsidRPr="00B62927">
        <w:rPr>
          <w:b/>
          <w:bCs/>
        </w:rPr>
        <w:t>3. Quel est l’accomplissement dont vous êtes le plus fier ?</w:t>
      </w:r>
      <w:r w:rsidRPr="00B62927">
        <w:br/>
        <w:t xml:space="preserve">Avant tout, </w:t>
      </w:r>
      <w:r>
        <w:t>d</w:t>
      </w:r>
      <w:r w:rsidRPr="00B62927">
        <w:t xml:space="preserve">es rencontres humaines et </w:t>
      </w:r>
      <w:r>
        <w:t xml:space="preserve">de </w:t>
      </w:r>
      <w:r w:rsidRPr="00B62927">
        <w:t xml:space="preserve">la capacité à faire émerger des projets collectifs. Une idée, une équipe, des citoyens engagés : c’est une dynamique précieuse. </w:t>
      </w:r>
      <w:r w:rsidRPr="00B67629">
        <w:t> </w:t>
      </w:r>
      <w:r>
        <w:t>Et aussi, disons-le, le maintien constant d</w:t>
      </w:r>
      <w:r w:rsidRPr="00B67629">
        <w:t>es taux communaux d'imposition</w:t>
      </w:r>
      <w:r>
        <w:t xml:space="preserve"> ! </w:t>
      </w:r>
      <w:r w:rsidRPr="00B62927">
        <w:t xml:space="preserve">Bien sûr, il y a </w:t>
      </w:r>
      <w:r>
        <w:t xml:space="preserve">eu </w:t>
      </w:r>
      <w:r w:rsidRPr="00B62927">
        <w:t xml:space="preserve">des échecs – notamment sur les nuisances aériennes autour de Roissy, dont les impacts sanitaires restent insuffisamment reconnus. Mais certaines réussites marquent, comme le classement </w:t>
      </w:r>
      <w:r>
        <w:t xml:space="preserve">récent </w:t>
      </w:r>
      <w:r w:rsidRPr="00B62927">
        <w:t>de la forêt de Montmorency en forêt de protection, initié par la commune. Aujourd’hui, à bientôt 70 ans, je poursuis mon activité</w:t>
      </w:r>
      <w:r>
        <w:t>, tant que ma santé le permettra !</w:t>
      </w:r>
      <w:r w:rsidRPr="00B62927">
        <w:t xml:space="preserve"> </w:t>
      </w:r>
      <w:r>
        <w:t>Prochainement, j’espère</w:t>
      </w:r>
      <w:r w:rsidRPr="00B62927">
        <w:t xml:space="preserve"> </w:t>
      </w:r>
      <w:r>
        <w:t>relater</w:t>
      </w:r>
      <w:r w:rsidRPr="00B62927">
        <w:t xml:space="preserve"> ce</w:t>
      </w:r>
      <w:r>
        <w:t>s</w:t>
      </w:r>
      <w:r w:rsidRPr="00B62927">
        <w:t xml:space="preserve"> expérience</w:t>
      </w:r>
      <w:r w:rsidR="00484C0E">
        <w:t>s</w:t>
      </w:r>
      <w:r w:rsidRPr="00B62927">
        <w:t xml:space="preserve"> dans un livre : les 36 500 communes françaises ont, à mon sens, un rôle déterminant pour faire évoluer concrètement les politiques de santé et d’environnement.</w:t>
      </w:r>
    </w:p>
    <w:p w14:paraId="5CC9509C" w14:textId="77777777" w:rsidR="00113A33" w:rsidRDefault="00113A33" w:rsidP="00396E66">
      <w:pPr>
        <w:jc w:val="both"/>
        <w:rPr>
          <w:b/>
          <w:bCs/>
        </w:rPr>
      </w:pPr>
      <w:r w:rsidRPr="002B4668">
        <w:rPr>
          <w:b/>
          <w:bCs/>
        </w:rPr>
        <w:t xml:space="preserve">Propos recueillis par Nathalie Chahine </w:t>
      </w:r>
    </w:p>
    <w:p w14:paraId="442757EE" w14:textId="77777777" w:rsidR="00113A33" w:rsidRDefault="00113A33" w:rsidP="00396E66">
      <w:pPr>
        <w:jc w:val="both"/>
        <w:rPr>
          <w:b/>
          <w:bCs/>
        </w:rPr>
      </w:pPr>
    </w:p>
    <w:p w14:paraId="35AEC550" w14:textId="24EA1B55" w:rsidR="00113A33" w:rsidRPr="00113A33" w:rsidRDefault="00113A33" w:rsidP="00396E66">
      <w:pPr>
        <w:jc w:val="both"/>
        <w:rPr>
          <w:b/>
          <w:bCs/>
          <w:color w:val="124F1A" w:themeColor="accent3" w:themeShade="BF"/>
        </w:rPr>
      </w:pPr>
      <w:r w:rsidRPr="00113A33">
        <w:rPr>
          <w:b/>
          <w:bCs/>
          <w:color w:val="124F1A" w:themeColor="accent3" w:themeShade="BF"/>
        </w:rPr>
        <w:t>AFFAIRES DISCIPLINAIRES</w:t>
      </w:r>
    </w:p>
    <w:p w14:paraId="0CD45EC4" w14:textId="77777777" w:rsidR="00113A33" w:rsidRDefault="00113A33" w:rsidP="00396E66">
      <w:pPr>
        <w:jc w:val="both"/>
        <w:rPr>
          <w:b/>
          <w:bCs/>
        </w:rPr>
      </w:pPr>
      <w:r>
        <w:rPr>
          <w:b/>
          <w:bCs/>
        </w:rPr>
        <w:t xml:space="preserve">Exercice illégal d’un étudiant en médecine non </w:t>
      </w:r>
      <w:proofErr w:type="spellStart"/>
      <w:r>
        <w:rPr>
          <w:b/>
          <w:bCs/>
        </w:rPr>
        <w:t>thésé</w:t>
      </w:r>
      <w:proofErr w:type="spellEnd"/>
      <w:r>
        <w:rPr>
          <w:b/>
          <w:bCs/>
        </w:rPr>
        <w:t xml:space="preserve"> </w:t>
      </w:r>
    </w:p>
    <w:p w14:paraId="4A442A5E" w14:textId="77777777" w:rsidR="00113A33" w:rsidRPr="00CB7C74" w:rsidRDefault="00113A33" w:rsidP="00396E66">
      <w:pPr>
        <w:jc w:val="both"/>
      </w:pPr>
      <w:r w:rsidRPr="00CB7C74">
        <w:rPr>
          <w:b/>
          <w:bCs/>
        </w:rPr>
        <w:t>Les faits :</w:t>
      </w:r>
      <w:r>
        <w:rPr>
          <w:b/>
          <w:bCs/>
        </w:rPr>
        <w:t xml:space="preserve"> </w:t>
      </w:r>
      <w:r w:rsidRPr="00CB7C74">
        <w:t xml:space="preserve">À l’issue de sa formation médicale, mais avant l’obtention de sa thèse, le Dr D. a exercé sans contrat et sans inscription au tableau de l’Ordre, en qualité de seul ophtalmologue au sein d’une structure, assisté de deux orthoptistes. </w:t>
      </w:r>
      <w:r>
        <w:t>Il</w:t>
      </w:r>
      <w:r w:rsidRPr="00CB7C74">
        <w:t xml:space="preserve"> a ainsi perçu des honoraires et procédé à la cotation d’actes remboursés par l’Assurance maladie, pour un montant total de 53 116</w:t>
      </w:r>
      <w:r>
        <w:t xml:space="preserve"> €</w:t>
      </w:r>
      <w:r w:rsidRPr="00CB7C74">
        <w:t xml:space="preserve"> sur une période de trois mois. Plusieurs patients ont déposé plainte pour des honoraires jugés excessifs.</w:t>
      </w:r>
      <w:r>
        <w:t xml:space="preserve"> </w:t>
      </w:r>
      <w:r w:rsidRPr="00CB7C74">
        <w:t>Par ailleurs, lors de sa demande d’inscription au tableau, le Dr D. n’a pas déclaré sa condamnation pour conduite sans permis d’un véhicule automobile.</w:t>
      </w:r>
    </w:p>
    <w:p w14:paraId="341A3596" w14:textId="3F978F58" w:rsidR="00113A33" w:rsidRPr="00CB7C74" w:rsidRDefault="00113A33" w:rsidP="00396E66">
      <w:pPr>
        <w:jc w:val="both"/>
        <w:rPr>
          <w:b/>
          <w:bCs/>
        </w:rPr>
      </w:pPr>
      <w:r w:rsidRPr="00CB7C74">
        <w:rPr>
          <w:b/>
          <w:bCs/>
        </w:rPr>
        <w:lastRenderedPageBreak/>
        <w:t>Les manquements déontologiques :</w:t>
      </w:r>
      <w:r>
        <w:rPr>
          <w:b/>
          <w:bCs/>
        </w:rPr>
        <w:t xml:space="preserve"> </w:t>
      </w:r>
      <w:r w:rsidRPr="00CB7C74">
        <w:t>L’article R. 4127-79 du code de la santé publique précise que « le médecin mentionne sur les feuilles d’ordonnances et sur ses autres documents professionnels (…) la spécialité au titre de laquelle il est inscrit au tableau ou la qualification qui lui a été reconnue (…) Il peut également mentionner ses titres, diplômes et fonctions lorsqu’ils ont été reconnus par le conseil national de l’ordre (…) ».</w:t>
      </w:r>
      <w:r>
        <w:t xml:space="preserve"> C</w:t>
      </w:r>
      <w:r w:rsidRPr="00CB7C74">
        <w:t>es manquements sont de nature à créer une confusion pour le public, d’autant que l’activité a été poursuivie de manière irrégulière pendant plusieurs mois.</w:t>
      </w:r>
      <w:r>
        <w:t xml:space="preserve"> </w:t>
      </w:r>
      <w:r w:rsidRPr="00CB7C74">
        <w:t>L’infraction au code de la route relève de l’article R. 4127-110 du code de la santé publique, qui stipule que « toute déclaration volontairement inexacte ou incomplète faite au conseil de l’ordre peut donner lieu à des poursuites disciplinaires ».</w:t>
      </w:r>
    </w:p>
    <w:p w14:paraId="6C86825F" w14:textId="77777777" w:rsidR="00113A33" w:rsidRPr="00A15223" w:rsidRDefault="00113A33" w:rsidP="00396E66">
      <w:pPr>
        <w:jc w:val="both"/>
      </w:pPr>
      <w:r w:rsidRPr="00CB7C74">
        <w:rPr>
          <w:b/>
          <w:bCs/>
        </w:rPr>
        <w:t>Décision de la chambre disciplinaire</w:t>
      </w:r>
      <w:r>
        <w:t xml:space="preserve"> : interdiction </w:t>
      </w:r>
      <w:r w:rsidRPr="00CB7C74">
        <w:t>d’exercer la médecine pendant une durée de six mois dont trois mois avec sursis</w:t>
      </w:r>
      <w:r>
        <w:t>.</w:t>
      </w:r>
    </w:p>
    <w:p w14:paraId="6E0BCA77" w14:textId="77777777" w:rsidR="00113A33" w:rsidRDefault="00113A33" w:rsidP="00396E66">
      <w:pPr>
        <w:jc w:val="both"/>
        <w:rPr>
          <w:b/>
          <w:bCs/>
        </w:rPr>
      </w:pPr>
    </w:p>
    <w:p w14:paraId="2E008921" w14:textId="77777777" w:rsidR="00113A33" w:rsidRPr="002B4668" w:rsidRDefault="00113A33" w:rsidP="00396E66">
      <w:pPr>
        <w:jc w:val="both"/>
        <w:rPr>
          <w:b/>
          <w:bCs/>
        </w:rPr>
      </w:pPr>
    </w:p>
    <w:p w14:paraId="2BA99862" w14:textId="77777777" w:rsidR="00113A33" w:rsidRDefault="00113A33" w:rsidP="00396E66">
      <w:pPr>
        <w:jc w:val="both"/>
      </w:pPr>
    </w:p>
    <w:sectPr w:rsidR="00113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6429A"/>
    <w:multiLevelType w:val="multilevel"/>
    <w:tmpl w:val="AD92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33E43"/>
    <w:multiLevelType w:val="multilevel"/>
    <w:tmpl w:val="B74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11062">
    <w:abstractNumId w:val="0"/>
  </w:num>
  <w:num w:numId="2" w16cid:durableId="99884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58"/>
    <w:rsid w:val="000469B1"/>
    <w:rsid w:val="00081E15"/>
    <w:rsid w:val="00107FF4"/>
    <w:rsid w:val="00113A33"/>
    <w:rsid w:val="00156043"/>
    <w:rsid w:val="002851AD"/>
    <w:rsid w:val="00285CC7"/>
    <w:rsid w:val="002D3DFB"/>
    <w:rsid w:val="00391B3A"/>
    <w:rsid w:val="00396E66"/>
    <w:rsid w:val="003C7558"/>
    <w:rsid w:val="0042125B"/>
    <w:rsid w:val="00481B3A"/>
    <w:rsid w:val="00484C0E"/>
    <w:rsid w:val="004D16BD"/>
    <w:rsid w:val="005C7E15"/>
    <w:rsid w:val="005F4B26"/>
    <w:rsid w:val="00704BF7"/>
    <w:rsid w:val="00807482"/>
    <w:rsid w:val="0085292D"/>
    <w:rsid w:val="00865203"/>
    <w:rsid w:val="00890B54"/>
    <w:rsid w:val="009B0DE6"/>
    <w:rsid w:val="00A47FBF"/>
    <w:rsid w:val="00A576B3"/>
    <w:rsid w:val="00AD2822"/>
    <w:rsid w:val="00AD51D0"/>
    <w:rsid w:val="00AF3C7C"/>
    <w:rsid w:val="00B65D55"/>
    <w:rsid w:val="00BA5A54"/>
    <w:rsid w:val="00C77A93"/>
    <w:rsid w:val="00CB215D"/>
    <w:rsid w:val="00CB2926"/>
    <w:rsid w:val="00D277C3"/>
    <w:rsid w:val="00D4350F"/>
    <w:rsid w:val="00E570D8"/>
    <w:rsid w:val="00E96376"/>
    <w:rsid w:val="00F202D2"/>
    <w:rsid w:val="00F74D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F952"/>
  <w15:chartTrackingRefBased/>
  <w15:docId w15:val="{14399454-B6B0-44F4-A21D-112D0E05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33"/>
  </w:style>
  <w:style w:type="paragraph" w:styleId="Titre1">
    <w:name w:val="heading 1"/>
    <w:basedOn w:val="Normal"/>
    <w:next w:val="Normal"/>
    <w:link w:val="Titre1Car"/>
    <w:uiPriority w:val="9"/>
    <w:qFormat/>
    <w:rsid w:val="003C7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7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75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75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75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75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75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75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75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75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75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75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75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75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75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75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75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7558"/>
    <w:rPr>
      <w:rFonts w:eastAsiaTheme="majorEastAsia" w:cstheme="majorBidi"/>
      <w:color w:val="272727" w:themeColor="text1" w:themeTint="D8"/>
    </w:rPr>
  </w:style>
  <w:style w:type="paragraph" w:styleId="Titre">
    <w:name w:val="Title"/>
    <w:basedOn w:val="Normal"/>
    <w:next w:val="Normal"/>
    <w:link w:val="TitreCar"/>
    <w:uiPriority w:val="10"/>
    <w:qFormat/>
    <w:rsid w:val="003C7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75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75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75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7558"/>
    <w:pPr>
      <w:spacing w:before="160"/>
      <w:jc w:val="center"/>
    </w:pPr>
    <w:rPr>
      <w:i/>
      <w:iCs/>
      <w:color w:val="404040" w:themeColor="text1" w:themeTint="BF"/>
    </w:rPr>
  </w:style>
  <w:style w:type="character" w:customStyle="1" w:styleId="CitationCar">
    <w:name w:val="Citation Car"/>
    <w:basedOn w:val="Policepardfaut"/>
    <w:link w:val="Citation"/>
    <w:uiPriority w:val="29"/>
    <w:rsid w:val="003C7558"/>
    <w:rPr>
      <w:i/>
      <w:iCs/>
      <w:color w:val="404040" w:themeColor="text1" w:themeTint="BF"/>
    </w:rPr>
  </w:style>
  <w:style w:type="paragraph" w:styleId="Paragraphedeliste">
    <w:name w:val="List Paragraph"/>
    <w:basedOn w:val="Normal"/>
    <w:uiPriority w:val="34"/>
    <w:qFormat/>
    <w:rsid w:val="003C7558"/>
    <w:pPr>
      <w:ind w:left="720"/>
      <w:contextualSpacing/>
    </w:pPr>
  </w:style>
  <w:style w:type="character" w:styleId="Accentuationintense">
    <w:name w:val="Intense Emphasis"/>
    <w:basedOn w:val="Policepardfaut"/>
    <w:uiPriority w:val="21"/>
    <w:qFormat/>
    <w:rsid w:val="003C7558"/>
    <w:rPr>
      <w:i/>
      <w:iCs/>
      <w:color w:val="0F4761" w:themeColor="accent1" w:themeShade="BF"/>
    </w:rPr>
  </w:style>
  <w:style w:type="paragraph" w:styleId="Citationintense">
    <w:name w:val="Intense Quote"/>
    <w:basedOn w:val="Normal"/>
    <w:next w:val="Normal"/>
    <w:link w:val="CitationintenseCar"/>
    <w:uiPriority w:val="30"/>
    <w:qFormat/>
    <w:rsid w:val="003C7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7558"/>
    <w:rPr>
      <w:i/>
      <w:iCs/>
      <w:color w:val="0F4761" w:themeColor="accent1" w:themeShade="BF"/>
    </w:rPr>
  </w:style>
  <w:style w:type="character" w:styleId="Rfrenceintense">
    <w:name w:val="Intense Reference"/>
    <w:basedOn w:val="Policepardfaut"/>
    <w:uiPriority w:val="32"/>
    <w:qFormat/>
    <w:rsid w:val="003C7558"/>
    <w:rPr>
      <w:b/>
      <w:bCs/>
      <w:smallCaps/>
      <w:color w:val="0F4761" w:themeColor="accent1" w:themeShade="BF"/>
      <w:spacing w:val="5"/>
    </w:rPr>
  </w:style>
  <w:style w:type="character" w:styleId="Lienhypertexte">
    <w:name w:val="Hyperlink"/>
    <w:basedOn w:val="Policepardfaut"/>
    <w:uiPriority w:val="99"/>
    <w:unhideWhenUsed/>
    <w:rsid w:val="00113A33"/>
    <w:rPr>
      <w:color w:val="467886" w:themeColor="hyperlink"/>
      <w:u w:val="single"/>
    </w:rPr>
  </w:style>
  <w:style w:type="character" w:styleId="Mentionnonrsolue">
    <w:name w:val="Unresolved Mention"/>
    <w:basedOn w:val="Policepardfaut"/>
    <w:uiPriority w:val="99"/>
    <w:semiHidden/>
    <w:unhideWhenUsed/>
    <w:rsid w:val="00113A33"/>
    <w:rPr>
      <w:color w:val="605E5C"/>
      <w:shd w:val="clear" w:color="auto" w:fill="E1DFDD"/>
    </w:rPr>
  </w:style>
  <w:style w:type="paragraph" w:customStyle="1" w:styleId="jot-paragraph-element">
    <w:name w:val="jot-paragraph-element"/>
    <w:basedOn w:val="Normal"/>
    <w:rsid w:val="00481B3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adiofrance.fr/recherche?q=hold+up+sur+la+sant%C3%A9&amp;results=tru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1612</Words>
  <Characters>8866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3</cp:revision>
  <dcterms:created xsi:type="dcterms:W3CDTF">2026-04-15T06:07:00Z</dcterms:created>
  <dcterms:modified xsi:type="dcterms:W3CDTF">2026-04-15T06:11:00Z</dcterms:modified>
</cp:coreProperties>
</file>