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2FF6" w14:textId="1B33AF28" w:rsidR="006056A1" w:rsidRPr="00F414DC" w:rsidRDefault="006056A1" w:rsidP="006056A1">
      <w:pPr>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414DC">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DOCTONEWS </w:t>
      </w:r>
      <w:r>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mars </w:t>
      </w:r>
      <w:r w:rsidRPr="00F414DC">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7EE8B8AB" w14:textId="77777777" w:rsidR="006056A1" w:rsidRPr="00F414DC" w:rsidRDefault="006056A1" w:rsidP="006056A1">
      <w:pPr>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414DC">
        <w:rPr>
          <w:rFonts w:ascii="Times New Roman" w:hAnsi="Times New Roman" w:cs="Times New Roman"/>
          <w:color w:val="E97132" w:themeColor="accen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7B20990B" w14:textId="77777777" w:rsidR="006056A1" w:rsidRDefault="006056A1" w:rsidP="00F517E0">
      <w:pPr>
        <w:rPr>
          <w:b/>
          <w:bCs/>
        </w:rPr>
      </w:pPr>
    </w:p>
    <w:p w14:paraId="70FE499F" w14:textId="76AA3783" w:rsidR="00F517E0" w:rsidRDefault="00F517E0" w:rsidP="00F517E0">
      <w:pPr>
        <w:rPr>
          <w:b/>
          <w:bCs/>
        </w:rPr>
      </w:pPr>
      <w:r w:rsidRPr="00F517E0">
        <w:rPr>
          <w:b/>
          <w:bCs/>
        </w:rPr>
        <w:t>C’EST DE SAISON : comment accompagner les patients allergiques au pollen ?</w:t>
      </w:r>
    </w:p>
    <w:p w14:paraId="5DC0DC8B" w14:textId="45BA9316" w:rsidR="00F517E0" w:rsidRPr="00F517E0" w:rsidRDefault="00F517E0" w:rsidP="00F517E0">
      <w:r>
        <w:rPr>
          <w:b/>
          <w:bCs/>
        </w:rPr>
        <w:t xml:space="preserve">Les conseils du </w:t>
      </w:r>
      <w:r w:rsidRPr="00F517E0">
        <w:rPr>
          <w:b/>
          <w:bCs/>
        </w:rPr>
        <w:t>Dr</w:t>
      </w:r>
      <w:r>
        <w:rPr>
          <w:b/>
          <w:bCs/>
        </w:rPr>
        <w:t xml:space="preserve"> </w:t>
      </w:r>
      <w:r w:rsidRPr="00F517E0">
        <w:rPr>
          <w:b/>
          <w:bCs/>
        </w:rPr>
        <w:t>Maria Eid, médecin allergologue à Enghien les Bains. </w:t>
      </w:r>
    </w:p>
    <w:p w14:paraId="665B53F1" w14:textId="528D09F1" w:rsidR="00F517E0" w:rsidRPr="00F517E0" w:rsidRDefault="00F517E0" w:rsidP="00F517E0">
      <w:r w:rsidRPr="00F517E0">
        <w:rPr>
          <w:b/>
          <w:bCs/>
        </w:rPr>
        <w:t>Quels sont les principaux pics polliniques en ce moment ?</w:t>
      </w:r>
      <w:r w:rsidRPr="00F517E0">
        <w:br/>
        <w:t>Nous traversons actuellement la première grande vague pollinique de l’année : celle des arbres, qui s’étend globalement de janvier à mai. Elle sera suivie par celle des graminées, de mai à fin juillet. Un certain nombre de patients sont allergiques aux deux, ce qui peut prolonger les symptômes. Rhinite allergique, conjonctivite, toux ou exacerbations d’asthme sont alors fréquentes. On peut anticiper cette saisonnalité et commencer le traitement avant le début des pollens qui posent</w:t>
      </w:r>
      <w:r w:rsidR="006056A1" w:rsidRPr="00F517E0">
        <w:t xml:space="preserve"> </w:t>
      </w:r>
      <w:proofErr w:type="gramStart"/>
      <w:r w:rsidR="006056A1" w:rsidRPr="00F517E0">
        <w:t>problème</w:t>
      </w:r>
      <w:proofErr w:type="gramEnd"/>
      <w:r w:rsidRPr="00F517E0">
        <w:t xml:space="preserve"> au patient, et durant toute la période en question.</w:t>
      </w:r>
    </w:p>
    <w:p w14:paraId="58B03611" w14:textId="3C589F7D" w:rsidR="00F517E0" w:rsidRPr="00F517E0" w:rsidRDefault="00F517E0" w:rsidP="00F517E0">
      <w:r w:rsidRPr="00F517E0">
        <w:rPr>
          <w:b/>
          <w:bCs/>
        </w:rPr>
        <w:t>Quelles mesures simples limitent l’exposition aux pollens ?</w:t>
      </w:r>
      <w:r w:rsidRPr="00F517E0">
        <w:br/>
        <w:t>Quelques conseils d’hygiène de vie peuvent réellement atténuer les symptômes</w:t>
      </w:r>
      <w:r w:rsidR="00702A27">
        <w:t xml:space="preserve"> : </w:t>
      </w:r>
      <w:r w:rsidRPr="00F517E0">
        <w:t xml:space="preserve">aérer le domicile tôt le matin ou en soirée, lorsque la concentration pollinique est plus faible, éviter d’ouvrir les fenêtres en milieu d’après-midi. </w:t>
      </w:r>
      <w:r w:rsidR="00702A27">
        <w:t>Mieux vaut éviter de</w:t>
      </w:r>
      <w:r w:rsidRPr="00F517E0">
        <w:t xml:space="preserve"> faire sécher le linge à l’extérieur, les pollens pouvant s’y déposer. Les activités physiques en plein air sont à privilégier le matin ou en fin de journée. Enfin, au retour à domicile, une douche avec changement de vêtements et brossage des cheveux ou de la barbe permet de limiter l’introduction des pollens dans la literie.</w:t>
      </w:r>
    </w:p>
    <w:p w14:paraId="7B170B21" w14:textId="77777777" w:rsidR="00F517E0" w:rsidRDefault="00F517E0" w:rsidP="00F517E0">
      <w:r w:rsidRPr="00F517E0">
        <w:rPr>
          <w:b/>
          <w:bCs/>
        </w:rPr>
        <w:t>Quels traitements préconisez-vous ?</w:t>
      </w:r>
      <w:r w:rsidRPr="00F517E0">
        <w:br/>
        <w:t>Les antihistaminiques restent le traitement de première intention, associés si besoin à des lavages oculaires et nasaux ou à des collyres antiallergiques. Il est également important d’informer les patients asthmatiques et allergiques du phénomène de plus en plus fréquent d’asthme d’orage : lors des épisodes orageux, les pollens se fragmentent en particules très fines capables de pénétrer profondément dans les bronches, ce qui peut déclencher des crises sévères. Dans ces cas, faire un jogging sous la pluie peut être une très mauvaise idée ! Enfin, en cas de symptômes persistants ou invalidants malgré le traitement, l’orientation vers un allergologue pour envisager une désensibilisation peut être indiquée.</w:t>
      </w:r>
    </w:p>
    <w:p w14:paraId="5834B897" w14:textId="4B0F3FBD" w:rsidR="00702A27" w:rsidRPr="00702A27" w:rsidRDefault="00702A27" w:rsidP="00F517E0">
      <w:pPr>
        <w:rPr>
          <w:b/>
          <w:bCs/>
        </w:rPr>
      </w:pPr>
      <w:r w:rsidRPr="00702A27">
        <w:rPr>
          <w:b/>
          <w:bCs/>
        </w:rPr>
        <w:t xml:space="preserve">Propos recueillis par Nathalie Chahine </w:t>
      </w:r>
    </w:p>
    <w:p w14:paraId="2C534404" w14:textId="77777777" w:rsidR="00F517E0" w:rsidRPr="00F517E0" w:rsidRDefault="00F517E0" w:rsidP="00F517E0"/>
    <w:p w14:paraId="5B8DD9CA" w14:textId="6EE94FBA" w:rsidR="00F517E0" w:rsidRPr="00F517E0" w:rsidRDefault="00F517E0" w:rsidP="00F517E0">
      <w:pPr>
        <w:rPr>
          <w:b/>
          <w:bCs/>
        </w:rPr>
      </w:pPr>
      <w:r w:rsidRPr="00F517E0">
        <w:rPr>
          <w:b/>
          <w:bCs/>
        </w:rPr>
        <w:t>U</w:t>
      </w:r>
      <w:r>
        <w:rPr>
          <w:b/>
          <w:bCs/>
        </w:rPr>
        <w:t>RGENCES</w:t>
      </w:r>
      <w:r w:rsidRPr="00F517E0">
        <w:rPr>
          <w:b/>
          <w:bCs/>
        </w:rPr>
        <w:t xml:space="preserve"> : quelle réorganisation territoriale en 2026 ?</w:t>
      </w:r>
    </w:p>
    <w:p w14:paraId="6BE90B13" w14:textId="4F319A5B" w:rsidR="00F517E0" w:rsidRPr="00F517E0" w:rsidRDefault="00F517E0" w:rsidP="00F517E0">
      <w:r w:rsidRPr="00F517E0">
        <w:rPr>
          <w:b/>
          <w:bCs/>
        </w:rPr>
        <w:t>Une nouvelle gouvernance territoriale</w:t>
      </w:r>
      <w:r w:rsidRPr="00F517E0">
        <w:rPr>
          <w:b/>
          <w:bCs/>
        </w:rPr>
        <w:br/>
      </w:r>
      <w:r w:rsidRPr="00F517E0">
        <w:t>Dans le cadre du projet de loi de décentralisation et de réforme de l’État, le gouvernement envisage de renforcer la coordination locale des secours d’urgence. Le texte prévoit notamment la mise en place, dans chaque département, de contrats territoriaux du secours d’urgence (CTSU) arrêtés par le préfet. Ceux-ci définiraient l’organisation des moyens entre les Agences Régionales de Santé, les hôpitaux, le SAMU, les Sapeurs-Pompiers de France et les transporteurs sanitaires privés. L’objectif affiché est de mieux coordonner les acteurs face aux tensions croissantes sur les urgences et les transports sanitaires.</w:t>
      </w:r>
      <w:r>
        <w:t xml:space="preserve"> </w:t>
      </w:r>
    </w:p>
    <w:p w14:paraId="4AF7741B" w14:textId="71F602C9" w:rsidR="00F517E0" w:rsidRPr="00F517E0" w:rsidRDefault="00F517E0" w:rsidP="00F517E0">
      <w:r w:rsidRPr="00F517E0">
        <w:rPr>
          <w:b/>
          <w:bCs/>
        </w:rPr>
        <w:t>Un projet qui suscite des inquiétudes</w:t>
      </w:r>
      <w:r w:rsidRPr="00F517E0">
        <w:rPr>
          <w:b/>
          <w:bCs/>
        </w:rPr>
        <w:br/>
      </w:r>
      <w:r w:rsidRPr="00F517E0">
        <w:t xml:space="preserve">Plusieurs acteurs de l’urgence préhospitalière ont toutefois exprimé leurs réserves. Des </w:t>
      </w:r>
      <w:r w:rsidRPr="00F517E0">
        <w:lastRenderedPageBreak/>
        <w:t xml:space="preserve">organisations d’urgentistes et d’ambulanciers privés craignent que cette nouvelle gouvernance n’entraîne une dilution du pilotage sanitaire, les autorités médicales n’ayant qu’un rôle consultatif dans l’élaboration de ces contrats. Ils redoutent également des conséquences sur la régulation médicale et l’orientation des patients, avec un risque de recours plus fréquent aux services d’urgence hospitaliers. </w:t>
      </w:r>
      <w:r>
        <w:t xml:space="preserve">Le CNOM souligne un risque de fragilisation de l’expertise médicale (insérer le lien vers le PDF </w:t>
      </w:r>
      <w:hyperlink r:id="rId4" w:history="1">
        <w:r w:rsidR="00702A27" w:rsidRPr="00702A27">
          <w:rPr>
            <w:rStyle w:val="Lienhypertexte"/>
          </w:rPr>
          <w:t xml:space="preserve">Urgences - le </w:t>
        </w:r>
        <w:proofErr w:type="spellStart"/>
        <w:r w:rsidR="00702A27" w:rsidRPr="00702A27">
          <w:rPr>
            <w:rStyle w:val="Lienhypertexte"/>
          </w:rPr>
          <w:t>Cnom</w:t>
        </w:r>
        <w:proofErr w:type="spellEnd"/>
        <w:r w:rsidR="00702A27" w:rsidRPr="00702A27">
          <w:rPr>
            <w:rStyle w:val="Lienhypertexte"/>
          </w:rPr>
          <w:t xml:space="preserve"> met en garde contre une </w:t>
        </w:r>
        <w:proofErr w:type="spellStart"/>
        <w:r w:rsidR="00702A27" w:rsidRPr="00702A27">
          <w:rPr>
            <w:rStyle w:val="Lienhypertexte"/>
          </w:rPr>
          <w:t>réforme</w:t>
        </w:r>
        <w:proofErr w:type="spellEnd"/>
        <w:r w:rsidR="00702A27" w:rsidRPr="00702A27">
          <w:rPr>
            <w:rStyle w:val="Lienhypertexte"/>
          </w:rPr>
          <w:t xml:space="preserve"> qui affaiblirait l’expertise .</w:t>
        </w:r>
        <w:proofErr w:type="spellStart"/>
        <w:r w:rsidR="00702A27" w:rsidRPr="00702A27">
          <w:rPr>
            <w:rStyle w:val="Lienhypertexte"/>
          </w:rPr>
          <w:t>pdf</w:t>
        </w:r>
        <w:proofErr w:type="spellEnd"/>
      </w:hyperlink>
      <w:r>
        <w:t xml:space="preserve"> </w:t>
      </w:r>
      <w:r w:rsidRPr="00F517E0">
        <w:t>. D’autres acteurs, notamment du côté des services d’incendie et de secours, y voient au contraire un outil de coordination destiné à améliorer l’efficacité collective.</w:t>
      </w:r>
    </w:p>
    <w:p w14:paraId="41758B5B" w14:textId="122E12A4" w:rsidR="00F517E0" w:rsidRDefault="00F517E0" w:rsidP="00F517E0">
      <w:r w:rsidRPr="00F517E0">
        <w:rPr>
          <w:b/>
          <w:bCs/>
        </w:rPr>
        <w:t>Quels effets possibles pour les médecins du Val-d’Oise ?</w:t>
      </w:r>
      <w:r w:rsidRPr="00F517E0">
        <w:rPr>
          <w:b/>
          <w:bCs/>
        </w:rPr>
        <w:br/>
      </w:r>
      <w:r w:rsidRPr="00F517E0">
        <w:t>Pour les médecins libéraux du département, cette évolution pourrait modifier l’organisation territoriale des soins non programmés et des transports vers l’hôpital. Une coordination renforcée au niveau préfectoral pourrait contribuer à mieux répartir les missions entre ambulanciers, pompiers et services d’urgence. Mais l’enjeu restera de préserver la place de la régulation médicale et d’éviter une orientation trop systématique des patients vers les structures hospitalières, dans un contexte déjà tendu pour les urgences.</w:t>
      </w:r>
    </w:p>
    <w:p w14:paraId="76042802" w14:textId="0DEF55A3" w:rsidR="00702A27" w:rsidRDefault="00702A27" w:rsidP="00F517E0">
      <w:pPr>
        <w:rPr>
          <w:b/>
          <w:bCs/>
        </w:rPr>
      </w:pPr>
      <w:r w:rsidRPr="00702A27">
        <w:rPr>
          <w:b/>
          <w:bCs/>
        </w:rPr>
        <w:t>Dr Patrick Simonelli</w:t>
      </w:r>
    </w:p>
    <w:p w14:paraId="2758A251" w14:textId="56820101" w:rsidR="00702A27" w:rsidRPr="00702A27" w:rsidRDefault="00702A27" w:rsidP="00702A27">
      <w:pPr>
        <w:rPr>
          <w:b/>
          <w:bCs/>
        </w:rPr>
      </w:pPr>
      <w:r>
        <w:rPr>
          <w:b/>
          <w:bCs/>
        </w:rPr>
        <w:t>LIVRE BLANC POUR</w:t>
      </w:r>
      <w:r w:rsidRPr="00702A27">
        <w:rPr>
          <w:b/>
          <w:bCs/>
        </w:rPr>
        <w:t xml:space="preserve"> 2027 : appel à participation des médecins du Val-d’Oise</w:t>
      </w:r>
    </w:p>
    <w:p w14:paraId="0E57C68F" w14:textId="77777777" w:rsidR="00702A27" w:rsidRPr="00E81924" w:rsidRDefault="00702A27" w:rsidP="00702A27">
      <w:r w:rsidRPr="00E81924">
        <w:t>À l’approche des prochaines échéances nationales, le Conseil national de l’Ordre des médecins lance l’élaboration d’un Livre blanc pour 2027, destiné à nourrir le débat public et à proposer une vision ambitieuse pour l’avenir du système de santé.</w:t>
      </w:r>
    </w:p>
    <w:p w14:paraId="58691A37" w14:textId="69B8E8E9" w:rsidR="00702A27" w:rsidRPr="00E81924" w:rsidRDefault="00702A27" w:rsidP="00702A27">
      <w:r w:rsidRPr="00E81924">
        <w:t>Dans le Val-d’Oise, le CDOM 95 participera activement à cette démarche et réunira </w:t>
      </w:r>
      <w:r w:rsidR="00FB2A66" w:rsidRPr="00E81924">
        <w:t xml:space="preserve">le 2 avril </w:t>
      </w:r>
      <w:r w:rsidR="003E3483" w:rsidRPr="00E81924">
        <w:t xml:space="preserve">prochain </w:t>
      </w:r>
      <w:r w:rsidRPr="00E81924">
        <w:t>20 à 30 médecins du département, ordinaux et non ordinaux, représentant la diversité des modes d’exercice. Ils seront invités à contribuer à un forum de réflexion collective, autour de dix grandes thématiques : accessibilité et continuité des soins, évolution des carrières médicales, organisation et interprofessionnalité des soins, place des nouvelles technologies et de l’IA, entre autres.</w:t>
      </w:r>
    </w:p>
    <w:p w14:paraId="531F87A5" w14:textId="6522A2DE" w:rsidR="00702A27" w:rsidRPr="00E81924" w:rsidRDefault="003E3483" w:rsidP="00702A27">
      <w:pPr>
        <w:rPr>
          <w:b/>
          <w:bCs/>
        </w:rPr>
      </w:pPr>
      <w:r w:rsidRPr="00E81924">
        <w:t xml:space="preserve">Un </w:t>
      </w:r>
      <w:r w:rsidR="00702A27" w:rsidRPr="00E81924">
        <w:t xml:space="preserve">appel à candidatures </w:t>
      </w:r>
      <w:r w:rsidR="00605A4A" w:rsidRPr="00E81924">
        <w:t xml:space="preserve">transitera par les élus du CDOM </w:t>
      </w:r>
      <w:r w:rsidR="00403C0A" w:rsidRPr="00E81924">
        <w:t xml:space="preserve">pour cibler différents </w:t>
      </w:r>
      <w:r w:rsidR="00702A27" w:rsidRPr="00E81924">
        <w:t>médecins du département.</w:t>
      </w:r>
      <w:r w:rsidR="00702A27" w:rsidRPr="00E81924">
        <w:br/>
      </w:r>
      <w:r w:rsidR="00403C0A" w:rsidRPr="00E81924">
        <w:t>Mais t</w:t>
      </w:r>
      <w:r w:rsidR="00702A27" w:rsidRPr="00E81924">
        <w:t xml:space="preserve">ous ceux qui souhaitent contribuer à cette réflexion stratégique </w:t>
      </w:r>
      <w:r w:rsidR="00403C0A" w:rsidRPr="00E81924">
        <w:t>autour de</w:t>
      </w:r>
      <w:r w:rsidR="00702A27" w:rsidRPr="00E81924">
        <w:t xml:space="preserve"> l’avenir de la profession sont invités à se manifester</w:t>
      </w:r>
      <w:r w:rsidR="00702A27" w:rsidRPr="00E81924">
        <w:rPr>
          <w:b/>
          <w:bCs/>
        </w:rPr>
        <w:t xml:space="preserve">. </w:t>
      </w:r>
    </w:p>
    <w:p w14:paraId="339EE6C7" w14:textId="779FFCFB" w:rsidR="00702A27" w:rsidRPr="00702A27" w:rsidRDefault="00702A27" w:rsidP="00702A27">
      <w:pPr>
        <w:rPr>
          <w:b/>
          <w:bCs/>
        </w:rPr>
      </w:pPr>
      <w:r w:rsidRPr="00702A27">
        <w:rPr>
          <w:b/>
          <w:bCs/>
        </w:rPr>
        <w:t>CDOM 95 :  </w:t>
      </w:r>
      <w:hyperlink r:id="rId5" w:history="1">
        <w:r w:rsidRPr="00702A27">
          <w:rPr>
            <w:rStyle w:val="Lienhypertexte"/>
            <w:b/>
            <w:bCs/>
            <w:color w:val="auto"/>
            <w:u w:val="none"/>
          </w:rPr>
          <w:t>01 39 59 57 63</w:t>
        </w:r>
      </w:hyperlink>
      <w:r w:rsidRPr="00702A27">
        <w:rPr>
          <w:b/>
          <w:bCs/>
        </w:rPr>
        <w:t xml:space="preserve"> et https://cdom95.org/</w:t>
      </w:r>
    </w:p>
    <w:p w14:paraId="7BA3B2B5" w14:textId="31B7D2A0" w:rsidR="00702A27" w:rsidRDefault="00702A27" w:rsidP="00702A27">
      <w:pPr>
        <w:rPr>
          <w:b/>
          <w:bCs/>
        </w:rPr>
      </w:pPr>
      <w:r w:rsidRPr="00702A27">
        <w:rPr>
          <w:b/>
          <w:bCs/>
        </w:rPr>
        <w:t>Dr Catherine Diard</w:t>
      </w:r>
    </w:p>
    <w:p w14:paraId="64BEE993" w14:textId="77777777" w:rsidR="006056A1" w:rsidRPr="00702A27" w:rsidRDefault="006056A1" w:rsidP="00702A27">
      <w:pPr>
        <w:rPr>
          <w:b/>
          <w:bCs/>
        </w:rPr>
      </w:pPr>
    </w:p>
    <w:p w14:paraId="5C894755" w14:textId="0ADAE13F" w:rsidR="00702A27" w:rsidRDefault="006056A1" w:rsidP="00F517E0">
      <w:pPr>
        <w:rPr>
          <w:b/>
          <w:bCs/>
        </w:rPr>
      </w:pPr>
      <w:r>
        <w:rPr>
          <w:b/>
          <w:bCs/>
        </w:rPr>
        <w:t>OUVERTURE : La maison de santé France-Leca recrute !</w:t>
      </w:r>
    </w:p>
    <w:p w14:paraId="32E79188" w14:textId="77777777" w:rsidR="006056A1" w:rsidRPr="006056A1" w:rsidRDefault="006056A1" w:rsidP="006056A1">
      <w:r w:rsidRPr="006056A1">
        <w:t>À Bessancourt (Val-d’Oise), la maison de santé pluriprofessionnelle Francine-Leca, inaugurée début 2026 au cœur de l’écoquartier des Meuniers, s’inscrit dans une réponse territoriale à la demande croissante de soins de proximité. Ouverte depuis février, cette structure de 440 m² réunit aujourd’hui deux médecins généralistes et sept professionnels paramédicaux (infirmières, sage-femme, orthophoniste, psychologue, pédicure-podologue), ainsi qu’un pôle de kinésithérapie de 140 m².</w:t>
      </w:r>
    </w:p>
    <w:p w14:paraId="78C6DEE0" w14:textId="19F1B8CD" w:rsidR="006056A1" w:rsidRPr="006056A1" w:rsidRDefault="006056A1" w:rsidP="006056A1">
      <w:r w:rsidRPr="006056A1">
        <w:lastRenderedPageBreak/>
        <w:t>Pensée pour favoriser les coopérations, la MSP propose quatorze cabinets encore partiellement disponibles. Les loyers, encadrés par la municipalité (</w:t>
      </w:r>
      <w:r>
        <w:t xml:space="preserve">environ </w:t>
      </w:r>
      <w:r w:rsidRPr="006056A1">
        <w:t>650 à 1 000 € charges comprises), s’inscrivent dans une logique d’attractivité maîtrisée. L’ensemble est complété par une offre de logements à proximité immédiate, destinée notamment aux professionnels de santé.</w:t>
      </w:r>
    </w:p>
    <w:p w14:paraId="00613ABA" w14:textId="694B497E" w:rsidR="006056A1" w:rsidRPr="006056A1" w:rsidRDefault="006056A1" w:rsidP="006056A1">
      <w:r w:rsidRPr="006056A1">
        <w:t xml:space="preserve">Située à cinq minutes à pied de la gare (ligne H, Paris Gare du Nord en 35 minutes), la structure bénéficie d’une accessibilité facilitée, dans un secteur en développement démographique. </w:t>
      </w:r>
      <w:r>
        <w:t>Un</w:t>
      </w:r>
      <w:r w:rsidRPr="006056A1">
        <w:t xml:space="preserve"> cadre d’exercice </w:t>
      </w:r>
      <w:r>
        <w:t>attractif</w:t>
      </w:r>
      <w:r w:rsidRPr="006056A1">
        <w:t xml:space="preserve"> pour </w:t>
      </w:r>
      <w:r>
        <w:t>l</w:t>
      </w:r>
      <w:r w:rsidRPr="006056A1">
        <w:t>es praticiens souhaitant s’inscrire dans un travail d’équipe et un projet de santé partagé.</w:t>
      </w:r>
    </w:p>
    <w:p w14:paraId="370E2EA0" w14:textId="77777777" w:rsidR="006056A1" w:rsidRPr="00702A27" w:rsidRDefault="006056A1" w:rsidP="00F517E0">
      <w:pPr>
        <w:rPr>
          <w:b/>
          <w:bCs/>
        </w:rPr>
      </w:pPr>
    </w:p>
    <w:p w14:paraId="1E8069EB" w14:textId="5F4CCE66" w:rsidR="00702A27" w:rsidRPr="007C051B" w:rsidRDefault="00702A27" w:rsidP="00702A27">
      <w:pPr>
        <w:rPr>
          <w:b/>
          <w:bCs/>
        </w:rPr>
      </w:pPr>
      <w:r>
        <w:rPr>
          <w:b/>
          <w:bCs/>
        </w:rPr>
        <w:t>AFFAIRES DISCIPLINAIRES</w:t>
      </w:r>
    </w:p>
    <w:p w14:paraId="3F6C2F51" w14:textId="77777777" w:rsidR="00702A27" w:rsidRPr="0097073D" w:rsidRDefault="00702A27" w:rsidP="00702A27">
      <w:pPr>
        <w:rPr>
          <w:b/>
          <w:bCs/>
        </w:rPr>
      </w:pPr>
      <w:r w:rsidRPr="0097073D">
        <w:rPr>
          <w:b/>
          <w:bCs/>
        </w:rPr>
        <w:t xml:space="preserve">Refus de soins discriminatoire  </w:t>
      </w:r>
    </w:p>
    <w:p w14:paraId="34601330" w14:textId="77777777" w:rsidR="00702A27" w:rsidRDefault="00702A27" w:rsidP="00702A27">
      <w:r w:rsidRPr="0097073D">
        <w:rPr>
          <w:b/>
          <w:bCs/>
        </w:rPr>
        <w:t>Les faits</w:t>
      </w:r>
      <w:r>
        <w:t xml:space="preserve"> : Le Dr C, psychiatre, refuse de recevoir en consultation une patiente au motif qu’elle bénéficie de la complémentaire santé solidaire. Bien que niés par le médecin mis en cause, les faits ont été confirmés par le secrétariat téléphonique qui a pris l’appel. </w:t>
      </w:r>
    </w:p>
    <w:p w14:paraId="64CCED54" w14:textId="77777777" w:rsidR="00702A27" w:rsidRDefault="00702A27" w:rsidP="00702A27">
      <w:r w:rsidRPr="0097073D">
        <w:rPr>
          <w:b/>
          <w:bCs/>
        </w:rPr>
        <w:t>Les manquements déontologiques</w:t>
      </w:r>
      <w:r>
        <w:t xml:space="preserve"> : le médecin contrevient à l’article R. 4127-7 du code de la santé publique : « le médecin doit écouter, examiner, conseiller ou soigner avec la même conscience toutes les personnes quels que soient leur origine, leurs mœurs et leur situation de famille, leur appartenance ou leur non-appartenance à une ethnie, une nation ou une religion déterminée. (…) ». Et aux termes de l’article R. 4127-53 du même code, qui stipule que « les honoraires du médecin doivent être déterminés avec tact et mesure, en tenant compte de la règlementation en vigueur, des actes dispensés ou de circonstances particulières. » </w:t>
      </w:r>
    </w:p>
    <w:p w14:paraId="28F055AB" w14:textId="24B9A801" w:rsidR="00F517E0" w:rsidRPr="00F517E0" w:rsidRDefault="00702A27" w:rsidP="00702A27">
      <w:r w:rsidRPr="0097073D">
        <w:rPr>
          <w:b/>
          <w:bCs/>
        </w:rPr>
        <w:t>Sanction</w:t>
      </w:r>
      <w:r>
        <w:t xml:space="preserve"> : un avertissement a été prononcé à l’encontre du Dr C.  </w:t>
      </w:r>
    </w:p>
    <w:p w14:paraId="3E12F2D7" w14:textId="21A992FA" w:rsidR="00F517E0" w:rsidRPr="00F517E0" w:rsidRDefault="00F517E0" w:rsidP="00F517E0"/>
    <w:p w14:paraId="7F848EF5" w14:textId="77777777" w:rsidR="00BA5A54" w:rsidRDefault="00BA5A54"/>
    <w:sectPr w:rsidR="00BA5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A7"/>
    <w:rsid w:val="00075B65"/>
    <w:rsid w:val="003E3483"/>
    <w:rsid w:val="00403C0A"/>
    <w:rsid w:val="005B63A7"/>
    <w:rsid w:val="006056A1"/>
    <w:rsid w:val="00605A4A"/>
    <w:rsid w:val="006D49A7"/>
    <w:rsid w:val="00702A27"/>
    <w:rsid w:val="009137D1"/>
    <w:rsid w:val="00BA5A54"/>
    <w:rsid w:val="00CC1926"/>
    <w:rsid w:val="00E81924"/>
    <w:rsid w:val="00EE17C1"/>
    <w:rsid w:val="00F067AC"/>
    <w:rsid w:val="00F517E0"/>
    <w:rsid w:val="00FB2A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B9AE"/>
  <w15:chartTrackingRefBased/>
  <w15:docId w15:val="{4F983883-6B3C-4BAE-939E-10A24E39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4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D4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D49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D49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D49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D49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49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49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49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49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D49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D49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D49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D49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D49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49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49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49A7"/>
    <w:rPr>
      <w:rFonts w:eastAsiaTheme="majorEastAsia" w:cstheme="majorBidi"/>
      <w:color w:val="272727" w:themeColor="text1" w:themeTint="D8"/>
    </w:rPr>
  </w:style>
  <w:style w:type="paragraph" w:styleId="Titre">
    <w:name w:val="Title"/>
    <w:basedOn w:val="Normal"/>
    <w:next w:val="Normal"/>
    <w:link w:val="TitreCar"/>
    <w:uiPriority w:val="10"/>
    <w:qFormat/>
    <w:rsid w:val="006D4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49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49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49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49A7"/>
    <w:pPr>
      <w:spacing w:before="160"/>
      <w:jc w:val="center"/>
    </w:pPr>
    <w:rPr>
      <w:i/>
      <w:iCs/>
      <w:color w:val="404040" w:themeColor="text1" w:themeTint="BF"/>
    </w:rPr>
  </w:style>
  <w:style w:type="character" w:customStyle="1" w:styleId="CitationCar">
    <w:name w:val="Citation Car"/>
    <w:basedOn w:val="Policepardfaut"/>
    <w:link w:val="Citation"/>
    <w:uiPriority w:val="29"/>
    <w:rsid w:val="006D49A7"/>
    <w:rPr>
      <w:i/>
      <w:iCs/>
      <w:color w:val="404040" w:themeColor="text1" w:themeTint="BF"/>
    </w:rPr>
  </w:style>
  <w:style w:type="paragraph" w:styleId="Paragraphedeliste">
    <w:name w:val="List Paragraph"/>
    <w:basedOn w:val="Normal"/>
    <w:uiPriority w:val="34"/>
    <w:qFormat/>
    <w:rsid w:val="006D49A7"/>
    <w:pPr>
      <w:ind w:left="720"/>
      <w:contextualSpacing/>
    </w:pPr>
  </w:style>
  <w:style w:type="character" w:styleId="Accentuationintense">
    <w:name w:val="Intense Emphasis"/>
    <w:basedOn w:val="Policepardfaut"/>
    <w:uiPriority w:val="21"/>
    <w:qFormat/>
    <w:rsid w:val="006D49A7"/>
    <w:rPr>
      <w:i/>
      <w:iCs/>
      <w:color w:val="0F4761" w:themeColor="accent1" w:themeShade="BF"/>
    </w:rPr>
  </w:style>
  <w:style w:type="paragraph" w:styleId="Citationintense">
    <w:name w:val="Intense Quote"/>
    <w:basedOn w:val="Normal"/>
    <w:next w:val="Normal"/>
    <w:link w:val="CitationintenseCar"/>
    <w:uiPriority w:val="30"/>
    <w:qFormat/>
    <w:rsid w:val="006D4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D49A7"/>
    <w:rPr>
      <w:i/>
      <w:iCs/>
      <w:color w:val="0F4761" w:themeColor="accent1" w:themeShade="BF"/>
    </w:rPr>
  </w:style>
  <w:style w:type="character" w:styleId="Rfrenceintense">
    <w:name w:val="Intense Reference"/>
    <w:basedOn w:val="Policepardfaut"/>
    <w:uiPriority w:val="32"/>
    <w:qFormat/>
    <w:rsid w:val="006D49A7"/>
    <w:rPr>
      <w:b/>
      <w:bCs/>
      <w:smallCaps/>
      <w:color w:val="0F4761" w:themeColor="accent1" w:themeShade="BF"/>
      <w:spacing w:val="5"/>
    </w:rPr>
  </w:style>
  <w:style w:type="character" w:styleId="Lienhypertexte">
    <w:name w:val="Hyperlink"/>
    <w:basedOn w:val="Policepardfaut"/>
    <w:uiPriority w:val="99"/>
    <w:unhideWhenUsed/>
    <w:rsid w:val="00F517E0"/>
    <w:rPr>
      <w:color w:val="467886" w:themeColor="hyperlink"/>
      <w:u w:val="single"/>
    </w:rPr>
  </w:style>
  <w:style w:type="character" w:styleId="Mentionnonrsolue">
    <w:name w:val="Unresolved Mention"/>
    <w:basedOn w:val="Policepardfaut"/>
    <w:uiPriority w:val="99"/>
    <w:semiHidden/>
    <w:unhideWhenUsed/>
    <w:rsid w:val="00F51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search?q=cdom+95&amp;rlz=1C1CHBF_frFR1046FR1046&amp;oq=cdom+95&amp;gs_lcrp=EgZjaHJvbWUqDQgAEAAY4wIYgAQYnwQyDQgAEAAY4wIYgAQYnwQyFQgBEC4YJxivARjHARiABBiKBRiOBTIGCAIQIxgnMgoIAxAAGIAEGKIEMgYIBBBFGD3SAQk1NjQ5ajBqMTWoAgiwAgHxBQmeHU9w1yaT8QUJnh1PcNcmkw&amp;sourceid=chrome&amp;ie=UTF-8" TargetMode="External"/><Relationship Id="rId4" Type="http://schemas.openxmlformats.org/officeDocument/2006/relationships/hyperlink" Target="file:///C:\Users\natha\OneDrive\Bureau\Urgences%20-%20le%20Cnom%20met%20en%20garde%20contre%20une%20re%CC%81forme%20qui%20affaiblirait%20l%E2%80%99expertise%2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1284</Words>
  <Characters>7063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3</cp:revision>
  <dcterms:created xsi:type="dcterms:W3CDTF">2026-03-19T20:19:00Z</dcterms:created>
  <dcterms:modified xsi:type="dcterms:W3CDTF">2026-03-20T16:38:00Z</dcterms:modified>
</cp:coreProperties>
</file>