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FFE3" w14:textId="77777777" w:rsidR="00E55B77" w:rsidRDefault="00E55B77" w:rsidP="00563546">
      <w:pPr>
        <w:rPr>
          <w:rFonts w:ascii="Times New Roman" w:hAnsi="Times New Roman" w:cs="Times New Roman"/>
          <w:b/>
          <w:bCs/>
          <w:sz w:val="24"/>
          <w:szCs w:val="24"/>
        </w:rPr>
      </w:pPr>
    </w:p>
    <w:p w14:paraId="4D3F935E" w14:textId="0406E42A" w:rsidR="00BB6EDA" w:rsidRPr="00F414DC" w:rsidRDefault="00BB6EDA" w:rsidP="00BB6EDA">
      <w:pP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sid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février </w:t>
      </w:r>
      <w:r w:rsidRP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1B055F15" w14:textId="77777777" w:rsidR="00BB6EDA" w:rsidRPr="00F414DC" w:rsidRDefault="00BB6EDA" w:rsidP="00BB6EDA">
      <w:pP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5F6D953E" w14:textId="77777777" w:rsidR="00F414DC" w:rsidRDefault="00F414DC" w:rsidP="00563546">
      <w:pPr>
        <w:rPr>
          <w:rFonts w:ascii="Times New Roman" w:hAnsi="Times New Roman" w:cs="Times New Roman"/>
          <w:b/>
          <w:bCs/>
          <w:sz w:val="24"/>
          <w:szCs w:val="24"/>
        </w:rPr>
      </w:pPr>
    </w:p>
    <w:p w14:paraId="0E9ED6BF" w14:textId="474D217F" w:rsidR="00BB26CB" w:rsidRPr="00413065" w:rsidRDefault="00BB26CB" w:rsidP="00BB26CB">
      <w:pPr>
        <w:rPr>
          <w:rFonts w:ascii="Times New Roman" w:hAnsi="Times New Roman" w:cs="Times New Roman"/>
          <w:b/>
          <w:bCs/>
          <w:sz w:val="24"/>
          <w:szCs w:val="24"/>
        </w:rPr>
      </w:pPr>
      <w:r w:rsidRPr="00413065">
        <w:rPr>
          <w:rFonts w:ascii="Times New Roman" w:hAnsi="Times New Roman" w:cs="Times New Roman"/>
          <w:b/>
          <w:bCs/>
          <w:sz w:val="24"/>
          <w:szCs w:val="24"/>
        </w:rPr>
        <w:t xml:space="preserve">SOUMISSION CHIMIQUE : </w:t>
      </w:r>
      <w:r w:rsidR="00925539">
        <w:rPr>
          <w:rFonts w:ascii="Times New Roman" w:hAnsi="Times New Roman" w:cs="Times New Roman"/>
          <w:b/>
          <w:bCs/>
          <w:sz w:val="24"/>
          <w:szCs w:val="24"/>
        </w:rPr>
        <w:t>du nouveau</w:t>
      </w:r>
      <w:r w:rsidRPr="00413065">
        <w:rPr>
          <w:rFonts w:ascii="Times New Roman" w:hAnsi="Times New Roman" w:cs="Times New Roman"/>
          <w:b/>
          <w:bCs/>
          <w:sz w:val="24"/>
          <w:szCs w:val="24"/>
        </w:rPr>
        <w:t xml:space="preserve"> pour la prise en charge des victimes</w:t>
      </w:r>
    </w:p>
    <w:p w14:paraId="7EA122D7" w14:textId="77777777" w:rsidR="00BB26CB" w:rsidRPr="00413065" w:rsidRDefault="00BB26CB" w:rsidP="00BB26CB">
      <w:pPr>
        <w:rPr>
          <w:rFonts w:ascii="Times New Roman" w:hAnsi="Times New Roman" w:cs="Times New Roman"/>
          <w:sz w:val="24"/>
          <w:szCs w:val="24"/>
        </w:rPr>
      </w:pPr>
      <w:r w:rsidRPr="00F13DFE">
        <w:rPr>
          <w:rFonts w:ascii="Times New Roman" w:hAnsi="Times New Roman" w:cs="Times New Roman"/>
          <w:b/>
          <w:bCs/>
          <w:sz w:val="24"/>
          <w:szCs w:val="24"/>
        </w:rPr>
        <w:t>La loi de financement de la Sécurité sociale</w:t>
      </w:r>
      <w:r w:rsidRPr="00F06072">
        <w:rPr>
          <w:rFonts w:ascii="Times New Roman" w:hAnsi="Times New Roman" w:cs="Times New Roman"/>
          <w:sz w:val="24"/>
          <w:szCs w:val="24"/>
        </w:rPr>
        <w:t xml:space="preserve"> permet, à titre expérimental pour trois ans</w:t>
      </w:r>
      <w:r w:rsidRPr="00413065">
        <w:rPr>
          <w:rFonts w:ascii="Times New Roman" w:hAnsi="Times New Roman" w:cs="Times New Roman"/>
          <w:sz w:val="24"/>
          <w:szCs w:val="24"/>
        </w:rPr>
        <w:t xml:space="preserve"> dans certaines régions dont l’Ile-de-France</w:t>
      </w:r>
      <w:r w:rsidRPr="00F06072">
        <w:rPr>
          <w:rFonts w:ascii="Times New Roman" w:hAnsi="Times New Roman" w:cs="Times New Roman"/>
          <w:sz w:val="24"/>
          <w:szCs w:val="24"/>
        </w:rPr>
        <w:t>, le remboursement à 100 % par l’Assurance maladie des tests et analyses toxicologiques réalisés en cas de suspicion de soumission chimique</w:t>
      </w:r>
      <w:r w:rsidRPr="00413065">
        <w:rPr>
          <w:rFonts w:ascii="Times New Roman" w:hAnsi="Times New Roman" w:cs="Times New Roman"/>
          <w:sz w:val="24"/>
          <w:szCs w:val="24"/>
        </w:rPr>
        <w:t xml:space="preserve">, </w:t>
      </w:r>
      <w:r>
        <w:rPr>
          <w:rFonts w:ascii="Times New Roman" w:hAnsi="Times New Roman" w:cs="Times New Roman"/>
          <w:sz w:val="24"/>
          <w:szCs w:val="24"/>
        </w:rPr>
        <w:t xml:space="preserve">et ce </w:t>
      </w:r>
      <w:r w:rsidRPr="00413065">
        <w:rPr>
          <w:rFonts w:ascii="Times New Roman" w:hAnsi="Times New Roman" w:cs="Times New Roman"/>
          <w:sz w:val="24"/>
          <w:szCs w:val="24"/>
        </w:rPr>
        <w:t xml:space="preserve">sans </w:t>
      </w:r>
      <w:r w:rsidRPr="00F06072">
        <w:rPr>
          <w:rFonts w:ascii="Times New Roman" w:hAnsi="Times New Roman" w:cs="Times New Roman"/>
          <w:sz w:val="24"/>
          <w:szCs w:val="24"/>
        </w:rPr>
        <w:t>dépôt de plainte</w:t>
      </w:r>
      <w:r>
        <w:rPr>
          <w:rFonts w:ascii="Times New Roman" w:hAnsi="Times New Roman" w:cs="Times New Roman"/>
          <w:sz w:val="24"/>
          <w:szCs w:val="24"/>
        </w:rPr>
        <w:t xml:space="preserve"> (décret du 11 décembre 2025)</w:t>
      </w:r>
      <w:r w:rsidRPr="00F06072">
        <w:rPr>
          <w:rFonts w:ascii="Times New Roman" w:hAnsi="Times New Roman" w:cs="Times New Roman"/>
          <w:sz w:val="24"/>
          <w:szCs w:val="24"/>
        </w:rPr>
        <w:t xml:space="preserve">. </w:t>
      </w:r>
      <w:r w:rsidRPr="00413065">
        <w:rPr>
          <w:rFonts w:ascii="Times New Roman" w:hAnsi="Times New Roman" w:cs="Times New Roman"/>
          <w:sz w:val="24"/>
          <w:szCs w:val="24"/>
        </w:rPr>
        <w:t xml:space="preserve">L’expérimentation est ouverte à toute personne munie d’une ordonnance mentionnant le dispositif, établie par un médecin ou un infirmier d’Etat </w:t>
      </w:r>
      <w:r>
        <w:rPr>
          <w:rFonts w:ascii="Times New Roman" w:hAnsi="Times New Roman" w:cs="Times New Roman"/>
          <w:sz w:val="24"/>
          <w:szCs w:val="24"/>
        </w:rPr>
        <w:t>exerç</w:t>
      </w:r>
      <w:r w:rsidRPr="00413065">
        <w:rPr>
          <w:rFonts w:ascii="Times New Roman" w:hAnsi="Times New Roman" w:cs="Times New Roman"/>
          <w:sz w:val="24"/>
          <w:szCs w:val="24"/>
        </w:rPr>
        <w:t>ant dans l’une des régions concernées. Celui-ci pourra prescrire des analyses à l’issue d’un examen clinique et d’un entretien avec le patient. Le décret prévoit aussi la mise en place d’un « parcours patient » qui permettra de déposer plainte en cas de résultat positif des analyses.</w:t>
      </w:r>
    </w:p>
    <w:p w14:paraId="06C2A0EC" w14:textId="77777777" w:rsidR="00BB26CB" w:rsidRDefault="00BB26CB" w:rsidP="00BB26CB">
      <w:pPr>
        <w:rPr>
          <w:rFonts w:ascii="Times New Roman" w:hAnsi="Times New Roman" w:cs="Times New Roman"/>
          <w:sz w:val="24"/>
          <w:szCs w:val="24"/>
        </w:rPr>
      </w:pPr>
      <w:r w:rsidRPr="00F13DFE">
        <w:rPr>
          <w:rFonts w:ascii="Times New Roman" w:hAnsi="Times New Roman" w:cs="Times New Roman"/>
          <w:b/>
          <w:bCs/>
          <w:sz w:val="24"/>
          <w:szCs w:val="24"/>
        </w:rPr>
        <w:t>Le CNOM insiste toutefois sur un point essentiel</w:t>
      </w:r>
      <w:r w:rsidRPr="00F06072">
        <w:rPr>
          <w:rFonts w:ascii="Times New Roman" w:hAnsi="Times New Roman" w:cs="Times New Roman"/>
          <w:sz w:val="24"/>
          <w:szCs w:val="24"/>
        </w:rPr>
        <w:t xml:space="preserve"> : ces examens ne peuvent être prescrits que dans le cadre d’une consultation médicale, seule garante d’une évaluation clinique complète, du recueil du consentement, de la rédaction du certificat médical initial, de la prise en charge des lésions, de la prévention des risques (IST, grossesse) et de la conservation des preuves, dans le respect strict du secret médical.</w:t>
      </w:r>
      <w:r w:rsidRPr="00413065">
        <w:rPr>
          <w:rFonts w:ascii="Times New Roman" w:hAnsi="Times New Roman" w:cs="Times New Roman"/>
          <w:sz w:val="24"/>
          <w:szCs w:val="24"/>
        </w:rPr>
        <w:t xml:space="preserve"> </w:t>
      </w:r>
    </w:p>
    <w:p w14:paraId="5D59FCD7" w14:textId="77777777" w:rsidR="00BB26CB" w:rsidRDefault="00BB26CB" w:rsidP="00BB26CB">
      <w:pPr>
        <w:rPr>
          <w:rFonts w:ascii="Times New Roman" w:hAnsi="Times New Roman" w:cs="Times New Roman"/>
          <w:sz w:val="24"/>
          <w:szCs w:val="24"/>
        </w:rPr>
      </w:pPr>
      <w:r w:rsidRPr="00F13DFE">
        <w:rPr>
          <w:rFonts w:ascii="Times New Roman" w:hAnsi="Times New Roman" w:cs="Times New Roman"/>
          <w:b/>
          <w:bCs/>
          <w:sz w:val="24"/>
          <w:szCs w:val="24"/>
        </w:rPr>
        <w:t>Un kit à destination des médecins prescripteurs</w:t>
      </w:r>
      <w:r w:rsidRPr="00542760">
        <w:rPr>
          <w:rFonts w:ascii="Times New Roman" w:hAnsi="Times New Roman" w:cs="Times New Roman"/>
          <w:sz w:val="24"/>
          <w:szCs w:val="24"/>
        </w:rPr>
        <w:t xml:space="preserve"> est mis à disposition par les autorités sanitaires : il comprend un protocole de prélèvements, des recommandations selon le délai écoulé, ainsi que les modalités d’adressage aux laboratoires spécialisés en toxicologie.</w:t>
      </w:r>
      <w:r w:rsidRPr="00542760">
        <w:rPr>
          <w:rFonts w:ascii="Times New Roman" w:hAnsi="Times New Roman" w:cs="Times New Roman"/>
          <w:sz w:val="24"/>
          <w:szCs w:val="24"/>
        </w:rPr>
        <w:br/>
      </w:r>
      <w:r w:rsidRPr="00325C4F">
        <w:rPr>
          <w:rFonts w:ascii="Times New Roman" w:hAnsi="Times New Roman" w:cs="Times New Roman"/>
          <w:b/>
          <w:bCs/>
          <w:sz w:val="24"/>
          <w:szCs w:val="24"/>
        </w:rPr>
        <w:t>Deux modèles d’ordonnance sont prévus</w:t>
      </w:r>
      <w:r w:rsidRPr="00542760">
        <w:rPr>
          <w:rFonts w:ascii="Times New Roman" w:hAnsi="Times New Roman" w:cs="Times New Roman"/>
          <w:sz w:val="24"/>
          <w:szCs w:val="24"/>
        </w:rPr>
        <w:t xml:space="preserve"> :</w:t>
      </w:r>
      <w:r w:rsidRPr="00542760">
        <w:rPr>
          <w:rFonts w:ascii="Times New Roman" w:hAnsi="Times New Roman" w:cs="Times New Roman"/>
          <w:sz w:val="24"/>
          <w:szCs w:val="24"/>
        </w:rPr>
        <w:br/>
        <w:t>– Si le délai est inférieur à 5 jours, prescription de prélèvements sanguins et urinaires ciblant substances sédatives, hypnotiques, benzodiazépines, GHB/GBL et autres psychotropes.</w:t>
      </w:r>
      <w:r w:rsidRPr="00542760">
        <w:rPr>
          <w:rFonts w:ascii="Times New Roman" w:hAnsi="Times New Roman" w:cs="Times New Roman"/>
          <w:sz w:val="24"/>
          <w:szCs w:val="24"/>
        </w:rPr>
        <w:br/>
        <w:t>– Au-delà de 5 jours, orientation vers des analyses capillaires (cheveux), permettant une détection rétrospective plus large.</w:t>
      </w:r>
      <w:r w:rsidRPr="00542760">
        <w:rPr>
          <w:rFonts w:ascii="Times New Roman" w:hAnsi="Times New Roman" w:cs="Times New Roman"/>
          <w:sz w:val="24"/>
          <w:szCs w:val="24"/>
        </w:rPr>
        <w:br/>
        <w:t xml:space="preserve">Une fiche de liaison médicale accompagne systématiquement les prélèvements : elle précise </w:t>
      </w:r>
      <w:r>
        <w:rPr>
          <w:rFonts w:ascii="Times New Roman" w:hAnsi="Times New Roman" w:cs="Times New Roman"/>
          <w:sz w:val="24"/>
          <w:szCs w:val="24"/>
        </w:rPr>
        <w:t xml:space="preserve">la </w:t>
      </w:r>
      <w:r w:rsidRPr="00542760">
        <w:rPr>
          <w:rFonts w:ascii="Times New Roman" w:hAnsi="Times New Roman" w:cs="Times New Roman"/>
          <w:sz w:val="24"/>
          <w:szCs w:val="24"/>
        </w:rPr>
        <w:t xml:space="preserve">date des faits supposés, </w:t>
      </w:r>
      <w:r>
        <w:rPr>
          <w:rFonts w:ascii="Times New Roman" w:hAnsi="Times New Roman" w:cs="Times New Roman"/>
          <w:sz w:val="24"/>
          <w:szCs w:val="24"/>
        </w:rPr>
        <w:t xml:space="preserve">les </w:t>
      </w:r>
      <w:r w:rsidRPr="00542760">
        <w:rPr>
          <w:rFonts w:ascii="Times New Roman" w:hAnsi="Times New Roman" w:cs="Times New Roman"/>
          <w:sz w:val="24"/>
          <w:szCs w:val="24"/>
        </w:rPr>
        <w:t xml:space="preserve">symptômes observés, </w:t>
      </w:r>
      <w:r>
        <w:rPr>
          <w:rFonts w:ascii="Times New Roman" w:hAnsi="Times New Roman" w:cs="Times New Roman"/>
          <w:sz w:val="24"/>
          <w:szCs w:val="24"/>
        </w:rPr>
        <w:t xml:space="preserve">les </w:t>
      </w:r>
      <w:r w:rsidRPr="00542760">
        <w:rPr>
          <w:rFonts w:ascii="Times New Roman" w:hAnsi="Times New Roman" w:cs="Times New Roman"/>
          <w:sz w:val="24"/>
          <w:szCs w:val="24"/>
        </w:rPr>
        <w:t xml:space="preserve">traitements habituels, </w:t>
      </w:r>
      <w:r>
        <w:rPr>
          <w:rFonts w:ascii="Times New Roman" w:hAnsi="Times New Roman" w:cs="Times New Roman"/>
          <w:sz w:val="24"/>
          <w:szCs w:val="24"/>
        </w:rPr>
        <w:t xml:space="preserve">le </w:t>
      </w:r>
      <w:r w:rsidRPr="00542760">
        <w:rPr>
          <w:rFonts w:ascii="Times New Roman" w:hAnsi="Times New Roman" w:cs="Times New Roman"/>
          <w:sz w:val="24"/>
          <w:szCs w:val="24"/>
        </w:rPr>
        <w:t>contexte clinique.</w:t>
      </w:r>
    </w:p>
    <w:p w14:paraId="0D3FAC8B" w14:textId="03B03893" w:rsidR="00CF20CE" w:rsidRPr="00415A99" w:rsidRDefault="00BB26CB" w:rsidP="00BB26CB">
      <w:pPr>
        <w:rPr>
          <w:rFonts w:ascii="Times New Roman" w:hAnsi="Times New Roman" w:cs="Times New Roman"/>
          <w:sz w:val="24"/>
          <w:szCs w:val="24"/>
        </w:rPr>
      </w:pPr>
      <w:r w:rsidRPr="00D813A7">
        <w:rPr>
          <w:rFonts w:ascii="Times New Roman" w:hAnsi="Times New Roman" w:cs="Times New Roman"/>
          <w:b/>
          <w:bCs/>
          <w:sz w:val="24"/>
          <w:szCs w:val="24"/>
        </w:rPr>
        <w:t xml:space="preserve">En pratique : </w:t>
      </w:r>
      <w:r w:rsidRPr="00325C4F">
        <w:rPr>
          <w:rFonts w:ascii="Times New Roman" w:hAnsi="Times New Roman" w:cs="Times New Roman"/>
          <w:sz w:val="24"/>
          <w:szCs w:val="24"/>
        </w:rPr>
        <w:t>Les modèles d’ordonnance, fiches de liaison et autres documents</w:t>
      </w:r>
      <w:r w:rsidRPr="00325C4F">
        <w:t xml:space="preserve"> </w:t>
      </w:r>
      <w:r w:rsidRPr="00325C4F">
        <w:rPr>
          <w:rFonts w:ascii="Times New Roman" w:hAnsi="Times New Roman" w:cs="Times New Roman"/>
          <w:sz w:val="24"/>
          <w:szCs w:val="24"/>
        </w:rPr>
        <w:t>sont mis à disposition par le Centre de référence sur les agressions facilitées par les substances (CRAFS), qui fournit également conseils d’application pratique et kits pédagogiques.</w:t>
      </w:r>
      <w:r w:rsidRPr="00D813A7">
        <w:rPr>
          <w:rFonts w:ascii="Times New Roman" w:hAnsi="Times New Roman" w:cs="Times New Roman"/>
          <w:b/>
          <w:bCs/>
          <w:sz w:val="24"/>
          <w:szCs w:val="24"/>
        </w:rPr>
        <w:t xml:space="preserve">  </w:t>
      </w:r>
      <w:hyperlink r:id="rId4" w:history="1">
        <w:r w:rsidRPr="00415A99">
          <w:rPr>
            <w:rStyle w:val="Lienhypertexte"/>
            <w:rFonts w:ascii="Times New Roman" w:hAnsi="Times New Roman" w:cs="Times New Roman"/>
            <w:b/>
            <w:bCs/>
            <w:color w:val="auto"/>
            <w:sz w:val="24"/>
            <w:szCs w:val="24"/>
          </w:rPr>
          <w:t>https://lecrafs.com/experimentation-soumission-chimique/</w:t>
        </w:r>
      </w:hyperlink>
    </w:p>
    <w:p w14:paraId="36A02CB6" w14:textId="40F4DFEF" w:rsidR="00E96376" w:rsidRPr="0082115A" w:rsidRDefault="00E96376" w:rsidP="00E96376">
      <w:pPr>
        <w:pStyle w:val="Titre1"/>
        <w:rPr>
          <w:rFonts w:ascii="Times New Roman" w:hAnsi="Times New Roman" w:cs="Times New Roman"/>
          <w:b/>
          <w:bCs/>
          <w:color w:val="4C94D8" w:themeColor="text2" w:themeTint="80"/>
          <w:sz w:val="24"/>
          <w:szCs w:val="24"/>
        </w:rPr>
      </w:pPr>
      <w:r w:rsidRPr="0082115A">
        <w:rPr>
          <w:rFonts w:ascii="Times New Roman" w:hAnsi="Times New Roman" w:cs="Times New Roman"/>
          <w:b/>
          <w:bCs/>
          <w:color w:val="4C94D8" w:themeColor="text2" w:themeTint="80"/>
          <w:sz w:val="24"/>
          <w:szCs w:val="24"/>
        </w:rPr>
        <w:t>DABM : l’entraide ordinale en pratique</w:t>
      </w:r>
    </w:p>
    <w:p w14:paraId="39E00CE5" w14:textId="77777777" w:rsidR="00E96376" w:rsidRPr="00413065" w:rsidRDefault="00E96376" w:rsidP="00E96376">
      <w:pPr>
        <w:pStyle w:val="Titre2"/>
        <w:rPr>
          <w:rFonts w:ascii="Times New Roman" w:hAnsi="Times New Roman" w:cs="Times New Roman"/>
          <w:b/>
          <w:bCs/>
          <w:color w:val="auto"/>
          <w:sz w:val="24"/>
          <w:szCs w:val="24"/>
        </w:rPr>
      </w:pPr>
      <w:r w:rsidRPr="00413065">
        <w:rPr>
          <w:rFonts w:ascii="Times New Roman" w:hAnsi="Times New Roman" w:cs="Times New Roman"/>
          <w:b/>
          <w:bCs/>
          <w:color w:val="auto"/>
          <w:sz w:val="24"/>
          <w:szCs w:val="24"/>
        </w:rPr>
        <w:t>1. Ce qu’est le DABM</w:t>
      </w:r>
    </w:p>
    <w:p w14:paraId="635B91AB" w14:textId="47B56BE4" w:rsidR="00E96376" w:rsidRPr="00413065" w:rsidRDefault="00E96376" w:rsidP="00E96376">
      <w:pPr>
        <w:rPr>
          <w:rFonts w:ascii="Times New Roman" w:hAnsi="Times New Roman" w:cs="Times New Roman"/>
          <w:sz w:val="24"/>
          <w:szCs w:val="24"/>
        </w:rPr>
      </w:pPr>
      <w:r w:rsidRPr="00413065">
        <w:rPr>
          <w:rFonts w:ascii="Times New Roman" w:hAnsi="Times New Roman" w:cs="Times New Roman"/>
          <w:sz w:val="24"/>
          <w:szCs w:val="24"/>
        </w:rPr>
        <w:t xml:space="preserve">Le Dispositif Académique de Bilan et Mobilité (DABM) est un outil national, </w:t>
      </w:r>
      <w:r w:rsidR="00AC59F8">
        <w:rPr>
          <w:rFonts w:ascii="Times New Roman" w:hAnsi="Times New Roman" w:cs="Times New Roman"/>
          <w:sz w:val="24"/>
          <w:szCs w:val="24"/>
        </w:rPr>
        <w:t xml:space="preserve">désormais </w:t>
      </w:r>
      <w:r w:rsidRPr="00413065">
        <w:rPr>
          <w:rFonts w:ascii="Times New Roman" w:hAnsi="Times New Roman" w:cs="Times New Roman"/>
          <w:sz w:val="24"/>
          <w:szCs w:val="24"/>
        </w:rPr>
        <w:t xml:space="preserve">proposé par l’Ordre des médecins, </w:t>
      </w:r>
      <w:r w:rsidR="00AC59F8">
        <w:rPr>
          <w:rFonts w:ascii="Times New Roman" w:hAnsi="Times New Roman" w:cs="Times New Roman"/>
          <w:sz w:val="24"/>
          <w:szCs w:val="24"/>
        </w:rPr>
        <w:t xml:space="preserve">et </w:t>
      </w:r>
      <w:r w:rsidRPr="00413065">
        <w:rPr>
          <w:rFonts w:ascii="Times New Roman" w:hAnsi="Times New Roman" w:cs="Times New Roman"/>
          <w:sz w:val="24"/>
          <w:szCs w:val="24"/>
        </w:rPr>
        <w:t xml:space="preserve">destiné à accompagner les médecins confrontés à des difficultés professionnelles, économiques ou à un besoin de réorientation. </w:t>
      </w:r>
      <w:r w:rsidR="00E36A70">
        <w:rPr>
          <w:rFonts w:ascii="Times New Roman" w:hAnsi="Times New Roman" w:cs="Times New Roman"/>
          <w:sz w:val="24"/>
          <w:szCs w:val="24"/>
        </w:rPr>
        <w:t>Ce</w:t>
      </w:r>
      <w:r w:rsidRPr="00413065">
        <w:rPr>
          <w:rFonts w:ascii="Times New Roman" w:hAnsi="Times New Roman" w:cs="Times New Roman"/>
          <w:sz w:val="24"/>
          <w:szCs w:val="24"/>
        </w:rPr>
        <w:t xml:space="preserve"> bilan professionnel confidentiel, réalisé par </w:t>
      </w:r>
      <w:r w:rsidRPr="000C29E1">
        <w:rPr>
          <w:rFonts w:ascii="Times New Roman" w:hAnsi="Times New Roman" w:cs="Times New Roman"/>
          <w:sz w:val="24"/>
          <w:szCs w:val="24"/>
        </w:rPr>
        <w:t xml:space="preserve">un </w:t>
      </w:r>
      <w:r w:rsidR="00313FEE" w:rsidRPr="000C29E1">
        <w:rPr>
          <w:rFonts w:ascii="Times New Roman" w:hAnsi="Times New Roman" w:cs="Times New Roman"/>
          <w:sz w:val="24"/>
          <w:szCs w:val="24"/>
        </w:rPr>
        <w:t xml:space="preserve">organisme spécialisé habilité par l’Éducation </w:t>
      </w:r>
      <w:r w:rsidR="00313FEE" w:rsidRPr="000C29E1">
        <w:rPr>
          <w:rFonts w:ascii="Times New Roman" w:hAnsi="Times New Roman" w:cs="Times New Roman"/>
          <w:sz w:val="24"/>
          <w:szCs w:val="24"/>
        </w:rPr>
        <w:lastRenderedPageBreak/>
        <w:t>nationale (GRETA, CIBC ou structure</w:t>
      </w:r>
      <w:r w:rsidR="00313FEE" w:rsidRPr="00313FEE">
        <w:rPr>
          <w:rFonts w:ascii="Times New Roman" w:hAnsi="Times New Roman" w:cs="Times New Roman"/>
          <w:sz w:val="24"/>
          <w:szCs w:val="24"/>
        </w:rPr>
        <w:t xml:space="preserve"> agréée dans le cadre académique</w:t>
      </w:r>
      <w:r w:rsidR="000C29E1">
        <w:rPr>
          <w:rFonts w:ascii="Times New Roman" w:hAnsi="Times New Roman" w:cs="Times New Roman"/>
          <w:sz w:val="24"/>
          <w:szCs w:val="24"/>
        </w:rPr>
        <w:t xml:space="preserve">), qui </w:t>
      </w:r>
      <w:r w:rsidRPr="00413065">
        <w:rPr>
          <w:rFonts w:ascii="Times New Roman" w:hAnsi="Times New Roman" w:cs="Times New Roman"/>
          <w:sz w:val="24"/>
          <w:szCs w:val="24"/>
        </w:rPr>
        <w:t>permet d’analyser sa situation, d’identifier des pistes d’évolution (changement de mode d’exercice, diversification, mobilité, reconversion) et de construire un projet réaliste et sécurisé. Le contenu et les résultats sont exclusivement communiqués au médecin bénéficiaire.</w:t>
      </w:r>
    </w:p>
    <w:p w14:paraId="4AF03D37" w14:textId="1D049026" w:rsidR="00E96376" w:rsidRPr="00413065" w:rsidRDefault="00E96376" w:rsidP="00E96376">
      <w:pPr>
        <w:pStyle w:val="Titre2"/>
        <w:rPr>
          <w:rFonts w:ascii="Times New Roman" w:hAnsi="Times New Roman" w:cs="Times New Roman"/>
          <w:b/>
          <w:bCs/>
          <w:color w:val="auto"/>
          <w:sz w:val="24"/>
          <w:szCs w:val="24"/>
        </w:rPr>
      </w:pPr>
      <w:r w:rsidRPr="00413065">
        <w:rPr>
          <w:rFonts w:ascii="Times New Roman" w:hAnsi="Times New Roman" w:cs="Times New Roman"/>
          <w:b/>
          <w:bCs/>
          <w:color w:val="auto"/>
          <w:sz w:val="24"/>
          <w:szCs w:val="24"/>
        </w:rPr>
        <w:t xml:space="preserve">2. Quand solliciter le </w:t>
      </w:r>
      <w:r w:rsidR="00225B02">
        <w:rPr>
          <w:rFonts w:ascii="Times New Roman" w:hAnsi="Times New Roman" w:cs="Times New Roman"/>
          <w:b/>
          <w:bCs/>
          <w:color w:val="auto"/>
          <w:sz w:val="24"/>
          <w:szCs w:val="24"/>
        </w:rPr>
        <w:t>dispositif</w:t>
      </w:r>
    </w:p>
    <w:p w14:paraId="7D6936A0" w14:textId="015D9039" w:rsidR="00E96376" w:rsidRPr="00413065" w:rsidRDefault="00E96376" w:rsidP="00E96376">
      <w:pPr>
        <w:rPr>
          <w:rFonts w:ascii="Times New Roman" w:hAnsi="Times New Roman" w:cs="Times New Roman"/>
          <w:sz w:val="24"/>
          <w:szCs w:val="24"/>
        </w:rPr>
      </w:pPr>
      <w:r w:rsidRPr="00413065">
        <w:rPr>
          <w:rFonts w:ascii="Times New Roman" w:hAnsi="Times New Roman" w:cs="Times New Roman"/>
          <w:sz w:val="24"/>
          <w:szCs w:val="24"/>
        </w:rPr>
        <w:t>Le DABM peut être proposé ou sollicité lorsque le médecin :</w:t>
      </w:r>
      <w:r w:rsidRPr="00413065">
        <w:rPr>
          <w:rFonts w:ascii="Times New Roman" w:hAnsi="Times New Roman" w:cs="Times New Roman"/>
          <w:sz w:val="24"/>
          <w:szCs w:val="24"/>
        </w:rPr>
        <w:br/>
        <w:t>- traverse une difficulté financière ou une baisse durable de revenus,</w:t>
      </w:r>
      <w:r w:rsidRPr="00413065">
        <w:rPr>
          <w:rFonts w:ascii="Times New Roman" w:hAnsi="Times New Roman" w:cs="Times New Roman"/>
          <w:sz w:val="24"/>
          <w:szCs w:val="24"/>
        </w:rPr>
        <w:br/>
        <w:t>- connaît un épuisement professionnel ou une perte de sens,</w:t>
      </w:r>
      <w:r w:rsidRPr="00413065">
        <w:rPr>
          <w:rFonts w:ascii="Times New Roman" w:hAnsi="Times New Roman" w:cs="Times New Roman"/>
          <w:sz w:val="24"/>
          <w:szCs w:val="24"/>
        </w:rPr>
        <w:br/>
        <w:t>- envisage un changement d’exercice, une réduction d’activité ou une reconversion,</w:t>
      </w:r>
      <w:r w:rsidRPr="00413065">
        <w:rPr>
          <w:rFonts w:ascii="Times New Roman" w:hAnsi="Times New Roman" w:cs="Times New Roman"/>
          <w:sz w:val="24"/>
          <w:szCs w:val="24"/>
        </w:rPr>
        <w:br/>
        <w:t>- se trouve en situation de fragilité nécessitant un accompagnement structuré.</w:t>
      </w:r>
      <w:r w:rsidRPr="00413065">
        <w:rPr>
          <w:rFonts w:ascii="Times New Roman" w:hAnsi="Times New Roman" w:cs="Times New Roman"/>
          <w:sz w:val="24"/>
          <w:szCs w:val="24"/>
        </w:rPr>
        <w:br/>
      </w:r>
      <w:r w:rsidRPr="000E2B76">
        <w:rPr>
          <w:rFonts w:ascii="Times New Roman" w:hAnsi="Times New Roman" w:cs="Times New Roman"/>
          <w:b/>
          <w:bCs/>
          <w:sz w:val="24"/>
          <w:szCs w:val="24"/>
        </w:rPr>
        <w:t>Nouveauté importante</w:t>
      </w:r>
      <w:r w:rsidRPr="00413065">
        <w:rPr>
          <w:rFonts w:ascii="Times New Roman" w:hAnsi="Times New Roman" w:cs="Times New Roman"/>
          <w:sz w:val="24"/>
          <w:szCs w:val="24"/>
        </w:rPr>
        <w:t xml:space="preserve"> : en cas de difficulté financière avérée, la Commission Départementale d’Entraide (CDE) peut décider de financer tout ou partie du dispositif. Si ce n’est pas possible, la demande est transmise à la Commission Nationale d’Entraide (CNE). L’objectif est clair : ne pas laisser la contrainte financière freiner l’accès à un accompagnement professionnel.</w:t>
      </w:r>
    </w:p>
    <w:p w14:paraId="48619B8D" w14:textId="77777777" w:rsidR="00E96376" w:rsidRPr="00225B02" w:rsidRDefault="00E96376" w:rsidP="00E96376">
      <w:pPr>
        <w:pStyle w:val="Titre2"/>
        <w:rPr>
          <w:rFonts w:ascii="Times New Roman" w:hAnsi="Times New Roman" w:cs="Times New Roman"/>
          <w:b/>
          <w:bCs/>
          <w:color w:val="auto"/>
          <w:sz w:val="24"/>
          <w:szCs w:val="24"/>
        </w:rPr>
      </w:pPr>
      <w:r w:rsidRPr="00225B02">
        <w:rPr>
          <w:rFonts w:ascii="Times New Roman" w:hAnsi="Times New Roman" w:cs="Times New Roman"/>
          <w:b/>
          <w:bCs/>
          <w:color w:val="auto"/>
          <w:sz w:val="24"/>
          <w:szCs w:val="24"/>
        </w:rPr>
        <w:t>3. Comment le mettre en place</w:t>
      </w:r>
    </w:p>
    <w:p w14:paraId="63993AC6" w14:textId="34C1881D" w:rsidR="00E96376" w:rsidRPr="003E05D6" w:rsidRDefault="00E96376" w:rsidP="00E96376">
      <w:pPr>
        <w:rPr>
          <w:rFonts w:ascii="Times New Roman" w:hAnsi="Times New Roman" w:cs="Times New Roman"/>
          <w:b/>
          <w:bCs/>
          <w:sz w:val="24"/>
          <w:szCs w:val="24"/>
        </w:rPr>
      </w:pPr>
      <w:r w:rsidRPr="00413065">
        <w:rPr>
          <w:rFonts w:ascii="Times New Roman" w:hAnsi="Times New Roman" w:cs="Times New Roman"/>
          <w:sz w:val="24"/>
          <w:szCs w:val="24"/>
        </w:rPr>
        <w:t xml:space="preserve">• Le </w:t>
      </w:r>
      <w:r w:rsidRPr="001A5BD3">
        <w:rPr>
          <w:rFonts w:ascii="Times New Roman" w:hAnsi="Times New Roman" w:cs="Times New Roman"/>
          <w:sz w:val="24"/>
          <w:szCs w:val="24"/>
        </w:rPr>
        <w:t>médecin</w:t>
      </w:r>
      <w:r w:rsidR="00710E13" w:rsidRPr="001A5BD3">
        <w:rPr>
          <w:rFonts w:ascii="Times New Roman" w:hAnsi="Times New Roman" w:cs="Times New Roman"/>
          <w:sz w:val="24"/>
          <w:szCs w:val="24"/>
        </w:rPr>
        <w:t xml:space="preserve"> concerné</w:t>
      </w:r>
      <w:r w:rsidRPr="001A5BD3">
        <w:rPr>
          <w:rFonts w:ascii="Times New Roman" w:hAnsi="Times New Roman" w:cs="Times New Roman"/>
          <w:sz w:val="24"/>
          <w:szCs w:val="24"/>
        </w:rPr>
        <w:t xml:space="preserve"> </w:t>
      </w:r>
      <w:r w:rsidRPr="00413065">
        <w:rPr>
          <w:rFonts w:ascii="Times New Roman" w:hAnsi="Times New Roman" w:cs="Times New Roman"/>
          <w:sz w:val="24"/>
          <w:szCs w:val="24"/>
        </w:rPr>
        <w:t>prend contact avec le Conseil départemental de l’Ordre des médecins du Val-d’Oise (CDOM 95).</w:t>
      </w:r>
      <w:r w:rsidRPr="00413065">
        <w:rPr>
          <w:rFonts w:ascii="Times New Roman" w:hAnsi="Times New Roman" w:cs="Times New Roman"/>
          <w:sz w:val="24"/>
          <w:szCs w:val="24"/>
        </w:rPr>
        <w:br/>
        <w:t>• Un conseiller ordinal évalue la situation et peut proposer l’orientation vers le DABM.</w:t>
      </w:r>
      <w:r w:rsidRPr="00413065">
        <w:rPr>
          <w:rFonts w:ascii="Times New Roman" w:hAnsi="Times New Roman" w:cs="Times New Roman"/>
          <w:sz w:val="24"/>
          <w:szCs w:val="24"/>
        </w:rPr>
        <w:br/>
        <w:t>• Le médecin reste acteur de la démarche : il prend lui-même rendez-vous pour le premier entretien exploratoire.</w:t>
      </w:r>
      <w:r w:rsidRPr="00413065">
        <w:rPr>
          <w:rFonts w:ascii="Times New Roman" w:hAnsi="Times New Roman" w:cs="Times New Roman"/>
          <w:sz w:val="24"/>
          <w:szCs w:val="24"/>
        </w:rPr>
        <w:br/>
        <w:t>• Après cette phase, un bilan professionnel peut être engagé si nécessaire, avec un financement adapté à la situation.</w:t>
      </w:r>
      <w:r w:rsidRPr="00413065">
        <w:rPr>
          <w:rFonts w:ascii="Times New Roman" w:hAnsi="Times New Roman" w:cs="Times New Roman"/>
          <w:sz w:val="24"/>
          <w:szCs w:val="24"/>
        </w:rPr>
        <w:br/>
      </w:r>
      <w:r w:rsidRPr="00413065">
        <w:rPr>
          <w:rFonts w:ascii="Times New Roman" w:hAnsi="Times New Roman" w:cs="Times New Roman"/>
          <w:sz w:val="24"/>
          <w:szCs w:val="24"/>
        </w:rPr>
        <w:br/>
      </w:r>
      <w:r w:rsidRPr="003E05D6">
        <w:rPr>
          <w:rFonts w:ascii="Times New Roman" w:hAnsi="Times New Roman" w:cs="Times New Roman"/>
          <w:b/>
          <w:bCs/>
          <w:sz w:val="24"/>
          <w:szCs w:val="24"/>
        </w:rPr>
        <w:t>Contact : Conseil départemental de l’Ordre des médecins du Val-d’Oise (95) 01 39 59 57 63 Email : </w:t>
      </w:r>
      <w:hyperlink r:id="rId5" w:history="1">
        <w:r w:rsidRPr="003E05D6">
          <w:rPr>
            <w:rStyle w:val="Lienhypertexte"/>
            <w:rFonts w:ascii="Times New Roman" w:hAnsi="Times New Roman" w:cs="Times New Roman"/>
            <w:b/>
            <w:bCs/>
            <w:color w:val="auto"/>
            <w:sz w:val="24"/>
            <w:szCs w:val="24"/>
          </w:rPr>
          <w:t>cd.95@ordre.medecin.fr</w:t>
        </w:r>
      </w:hyperlink>
    </w:p>
    <w:p w14:paraId="4A44FDEE" w14:textId="77777777" w:rsidR="00413065" w:rsidRPr="00062D6E" w:rsidRDefault="00413065" w:rsidP="00E96376">
      <w:pPr>
        <w:rPr>
          <w:rFonts w:ascii="Times New Roman" w:hAnsi="Times New Roman" w:cs="Times New Roman"/>
          <w:color w:val="3A7C22" w:themeColor="accent6" w:themeShade="BF"/>
          <w:sz w:val="24"/>
          <w:szCs w:val="24"/>
        </w:rPr>
      </w:pPr>
    </w:p>
    <w:p w14:paraId="300B3B59" w14:textId="6B4E541E" w:rsidR="00D45223" w:rsidRPr="00062D6E" w:rsidRDefault="00BE443F" w:rsidP="00D45223">
      <w:pPr>
        <w:rPr>
          <w:rFonts w:ascii="Times New Roman" w:hAnsi="Times New Roman" w:cs="Times New Roman"/>
          <w:b/>
          <w:bCs/>
          <w:color w:val="3A7C22" w:themeColor="accent6" w:themeShade="BF"/>
          <w:sz w:val="24"/>
          <w:szCs w:val="24"/>
        </w:rPr>
      </w:pPr>
      <w:r>
        <w:rPr>
          <w:rFonts w:ascii="Times New Roman" w:hAnsi="Times New Roman" w:cs="Times New Roman"/>
          <w:b/>
          <w:bCs/>
          <w:color w:val="3A7C22" w:themeColor="accent6" w:themeShade="BF"/>
          <w:sz w:val="24"/>
          <w:szCs w:val="24"/>
        </w:rPr>
        <w:t>SECURISATION DES</w:t>
      </w:r>
      <w:r w:rsidR="00D45223" w:rsidRPr="00062D6E">
        <w:rPr>
          <w:rFonts w:ascii="Times New Roman" w:hAnsi="Times New Roman" w:cs="Times New Roman"/>
          <w:b/>
          <w:bCs/>
          <w:color w:val="3A7C22" w:themeColor="accent6" w:themeShade="BF"/>
          <w:sz w:val="24"/>
          <w:szCs w:val="24"/>
        </w:rPr>
        <w:t xml:space="preserve"> CABINET</w:t>
      </w:r>
      <w:r>
        <w:rPr>
          <w:rFonts w:ascii="Times New Roman" w:hAnsi="Times New Roman" w:cs="Times New Roman"/>
          <w:b/>
          <w:bCs/>
          <w:color w:val="3A7C22" w:themeColor="accent6" w:themeShade="BF"/>
          <w:sz w:val="24"/>
          <w:szCs w:val="24"/>
        </w:rPr>
        <w:t>S</w:t>
      </w:r>
      <w:r w:rsidR="00D45223" w:rsidRPr="00062D6E">
        <w:rPr>
          <w:rFonts w:ascii="Times New Roman" w:hAnsi="Times New Roman" w:cs="Times New Roman"/>
          <w:b/>
          <w:bCs/>
          <w:color w:val="3A7C22" w:themeColor="accent6" w:themeShade="BF"/>
          <w:sz w:val="24"/>
          <w:szCs w:val="24"/>
        </w:rPr>
        <w:t xml:space="preserve"> : une aide régionale pour les médecins</w:t>
      </w:r>
      <w:r w:rsidR="00DC03B8" w:rsidRPr="00062D6E">
        <w:rPr>
          <w:rFonts w:ascii="Times New Roman" w:hAnsi="Times New Roman" w:cs="Times New Roman"/>
          <w:b/>
          <w:bCs/>
          <w:color w:val="3A7C22" w:themeColor="accent6" w:themeShade="BF"/>
          <w:sz w:val="24"/>
          <w:szCs w:val="24"/>
        </w:rPr>
        <w:t xml:space="preserve"> </w:t>
      </w:r>
      <w:r w:rsidR="001A5BD3" w:rsidRPr="00062D6E">
        <w:rPr>
          <w:rFonts w:ascii="Times New Roman" w:hAnsi="Times New Roman" w:cs="Times New Roman"/>
          <w:b/>
          <w:bCs/>
          <w:color w:val="3A7C22" w:themeColor="accent6" w:themeShade="BF"/>
          <w:sz w:val="24"/>
          <w:szCs w:val="24"/>
        </w:rPr>
        <w:t>libéraux franciliens</w:t>
      </w:r>
    </w:p>
    <w:p w14:paraId="39F09774" w14:textId="713CC7E0" w:rsidR="00D45223" w:rsidRPr="00413065" w:rsidRDefault="00D45223" w:rsidP="00D45223">
      <w:pPr>
        <w:rPr>
          <w:rFonts w:ascii="Times New Roman" w:hAnsi="Times New Roman" w:cs="Times New Roman"/>
          <w:sz w:val="24"/>
          <w:szCs w:val="24"/>
        </w:rPr>
      </w:pPr>
      <w:r w:rsidRPr="00413065">
        <w:rPr>
          <w:rFonts w:ascii="Times New Roman" w:hAnsi="Times New Roman" w:cs="Times New Roman"/>
          <w:sz w:val="24"/>
          <w:szCs w:val="24"/>
        </w:rPr>
        <w:t xml:space="preserve">La Région Île-de-France a voté, le 29 janvier 2026, un nouveau dispositif d’aide destiné à renforcer la sécurité des professionnels de santé libéraux face à la recrudescence des violences, verbales comme physiques. Inscrite dans </w:t>
      </w:r>
      <w:r w:rsidR="00E803F5" w:rsidRPr="00413065">
        <w:rPr>
          <w:rFonts w:ascii="Times New Roman" w:hAnsi="Times New Roman" w:cs="Times New Roman"/>
          <w:sz w:val="24"/>
          <w:szCs w:val="24"/>
        </w:rPr>
        <w:t>l</w:t>
      </w:r>
      <w:proofErr w:type="gramStart"/>
      <w:r w:rsidR="00E803F5" w:rsidRPr="00413065">
        <w:rPr>
          <w:rFonts w:ascii="Times New Roman" w:hAnsi="Times New Roman" w:cs="Times New Roman"/>
          <w:sz w:val="24"/>
          <w:szCs w:val="24"/>
        </w:rPr>
        <w:t>’«</w:t>
      </w:r>
      <w:proofErr w:type="gramEnd"/>
      <w:r w:rsidRPr="00413065">
        <w:rPr>
          <w:rFonts w:ascii="Times New Roman" w:hAnsi="Times New Roman" w:cs="Times New Roman"/>
          <w:sz w:val="24"/>
          <w:szCs w:val="24"/>
        </w:rPr>
        <w:t xml:space="preserve"> Acte 2 du Plan Région solidaire », cette mesure vise les médecins exerçant en Île-de-France, seuls ou en cabinet de groupe. Elle permet de financer des équipements de sécurisation des locaux professionnels afin de protéger les soignants et leurs patients.</w:t>
      </w:r>
    </w:p>
    <w:p w14:paraId="5DEF19FA" w14:textId="77777777" w:rsidR="00D45223" w:rsidRPr="00413065" w:rsidRDefault="00D45223" w:rsidP="00D45223">
      <w:pPr>
        <w:rPr>
          <w:rFonts w:ascii="Times New Roman" w:hAnsi="Times New Roman" w:cs="Times New Roman"/>
          <w:sz w:val="24"/>
          <w:szCs w:val="24"/>
        </w:rPr>
      </w:pPr>
      <w:r w:rsidRPr="00413065">
        <w:rPr>
          <w:rFonts w:ascii="Times New Roman" w:hAnsi="Times New Roman" w:cs="Times New Roman"/>
          <w:b/>
          <w:bCs/>
          <w:sz w:val="24"/>
          <w:szCs w:val="24"/>
        </w:rPr>
        <w:t>Quelle prise en charge</w:t>
      </w:r>
      <w:r w:rsidRPr="00413065">
        <w:rPr>
          <w:rFonts w:ascii="Times New Roman" w:hAnsi="Times New Roman" w:cs="Times New Roman"/>
          <w:sz w:val="24"/>
          <w:szCs w:val="24"/>
        </w:rPr>
        <w:t xml:space="preserve"> : Concrètement, l’aide régionale peut couvrir jusqu’à 70 % des dépenses engagées, dans la limite de 15 000 € pour un cabinet collectif et de 8 000 € pour un professionnel exerçant seul. Les équipements éligibles concernent notamment les systèmes de contrôle d’accès, portes sécurisées, alarmes, dispositifs d’alerte, visiophones ou équipements de vidéoprotection. S’ajoutent des financements possibles d’équipements informatiques et de mobilier, financés à 50% pour un montant de 15 000 € maximum. Chaque professionnel ne peut bénéficier du dispositif qu’une seule fois. </w:t>
      </w:r>
    </w:p>
    <w:p w14:paraId="47FE05D3" w14:textId="3FAC28FB" w:rsidR="005604A9" w:rsidRPr="005604A9" w:rsidRDefault="00D45223" w:rsidP="005604A9">
      <w:r w:rsidRPr="00413065">
        <w:rPr>
          <w:rFonts w:ascii="Times New Roman" w:hAnsi="Times New Roman" w:cs="Times New Roman"/>
          <w:b/>
          <w:bCs/>
          <w:sz w:val="24"/>
          <w:szCs w:val="24"/>
        </w:rPr>
        <w:lastRenderedPageBreak/>
        <w:t>Où s’adresser</w:t>
      </w:r>
      <w:r w:rsidRPr="00413065">
        <w:rPr>
          <w:rFonts w:ascii="Times New Roman" w:hAnsi="Times New Roman" w:cs="Times New Roman"/>
          <w:sz w:val="24"/>
          <w:szCs w:val="24"/>
        </w:rPr>
        <w:t xml:space="preserve"> : Les demandes doivent être déposées </w:t>
      </w:r>
      <w:r w:rsidR="002A0B8B">
        <w:rPr>
          <w:rFonts w:ascii="Times New Roman" w:hAnsi="Times New Roman" w:cs="Times New Roman"/>
          <w:sz w:val="24"/>
          <w:szCs w:val="24"/>
        </w:rPr>
        <w:t>sur</w:t>
      </w:r>
      <w:r w:rsidR="000F5E8C">
        <w:rPr>
          <w:rFonts w:ascii="Times New Roman" w:hAnsi="Times New Roman" w:cs="Times New Roman"/>
          <w:sz w:val="24"/>
          <w:szCs w:val="24"/>
        </w:rPr>
        <w:t xml:space="preserve"> </w:t>
      </w:r>
      <w:hyperlink r:id="rId6" w:history="1">
        <w:r w:rsidR="009B4ECD" w:rsidRPr="00D618E9">
          <w:rPr>
            <w:rStyle w:val="Lienhypertexte"/>
            <w:rFonts w:ascii="Times New Roman" w:hAnsi="Times New Roman" w:cs="Times New Roman"/>
            <w:sz w:val="24"/>
            <w:szCs w:val="24"/>
          </w:rPr>
          <w:t>https://mesdemarches.iledefrance.fr</w:t>
        </w:r>
      </w:hyperlink>
      <w:r w:rsidR="009B4ECD">
        <w:rPr>
          <w:rFonts w:ascii="Times New Roman" w:hAnsi="Times New Roman" w:cs="Times New Roman"/>
          <w:sz w:val="24"/>
          <w:szCs w:val="24"/>
        </w:rPr>
        <w:t xml:space="preserve">. </w:t>
      </w:r>
      <w:r w:rsidRPr="00413065">
        <w:rPr>
          <w:rFonts w:ascii="Times New Roman" w:hAnsi="Times New Roman" w:cs="Times New Roman"/>
          <w:sz w:val="24"/>
          <w:szCs w:val="24"/>
        </w:rPr>
        <w:t xml:space="preserve"> </w:t>
      </w:r>
      <w:r w:rsidR="002A0B8B">
        <w:rPr>
          <w:rFonts w:ascii="Times New Roman" w:hAnsi="Times New Roman" w:cs="Times New Roman"/>
          <w:sz w:val="24"/>
          <w:szCs w:val="24"/>
        </w:rPr>
        <w:t xml:space="preserve">, le guichet officiel des aides régionales en Ile de France. </w:t>
      </w:r>
      <w:r w:rsidR="009B4ECD">
        <w:t>Rubrique</w:t>
      </w:r>
      <w:r w:rsidR="005604A9" w:rsidRPr="005604A9">
        <w:t xml:space="preserve"> </w:t>
      </w:r>
      <w:r w:rsidR="005604A9" w:rsidRPr="005604A9">
        <w:rPr>
          <w:b/>
          <w:bCs/>
        </w:rPr>
        <w:t>« Soutien au maintien et à la sécurisation des professionnels de santé libéraux exerçant seuls ou en cabinet de groupe »</w:t>
      </w:r>
      <w:r w:rsidR="005604A9" w:rsidRPr="005604A9">
        <w:t>.</w:t>
      </w:r>
      <w:r w:rsidR="009B4ECD">
        <w:t xml:space="preserve"> </w:t>
      </w:r>
      <w:r w:rsidR="005604A9" w:rsidRPr="005604A9">
        <w:t>Remplir le formulaire de candidature en ligne et joindre les pièces justificatives (devis, description des travaux/équipements, etc.)</w:t>
      </w:r>
    </w:p>
    <w:p w14:paraId="61CA7293" w14:textId="77777777" w:rsidR="00D45223" w:rsidRPr="00413065" w:rsidRDefault="00D45223" w:rsidP="00D45223">
      <w:pPr>
        <w:rPr>
          <w:rFonts w:ascii="Times New Roman" w:hAnsi="Times New Roman" w:cs="Times New Roman"/>
          <w:sz w:val="24"/>
          <w:szCs w:val="24"/>
        </w:rPr>
      </w:pPr>
      <w:r w:rsidRPr="00413065">
        <w:rPr>
          <w:rFonts w:ascii="Times New Roman" w:hAnsi="Times New Roman" w:cs="Times New Roman"/>
          <w:b/>
          <w:bCs/>
          <w:sz w:val="24"/>
          <w:szCs w:val="24"/>
        </w:rPr>
        <w:t>Astuce pratique</w:t>
      </w:r>
      <w:r w:rsidRPr="00413065">
        <w:rPr>
          <w:rFonts w:ascii="Times New Roman" w:hAnsi="Times New Roman" w:cs="Times New Roman"/>
          <w:sz w:val="24"/>
          <w:szCs w:val="24"/>
        </w:rPr>
        <w:t xml:space="preserve"> : avant de déposer un dossier, bien vérifier l’éligibilité précise des équipements envisagés et préparer des devis détaillés accompagnés d’une description claire de leur impact sur la sécurité du cabinet (protection du personnel, prévention des agressions, sécurisation de l’accueil). Un dossier bien argumenté et complet facilite l’instruction et augmente les chances d’un avis favorable.</w:t>
      </w:r>
    </w:p>
    <w:p w14:paraId="5DDE3103" w14:textId="77777777" w:rsidR="00D45223" w:rsidRPr="00413065" w:rsidRDefault="00D45223" w:rsidP="00E96376">
      <w:pPr>
        <w:rPr>
          <w:rFonts w:ascii="Times New Roman" w:hAnsi="Times New Roman" w:cs="Times New Roman"/>
          <w:sz w:val="24"/>
          <w:szCs w:val="24"/>
        </w:rPr>
      </w:pPr>
    </w:p>
    <w:p w14:paraId="4C348E6D" w14:textId="77777777" w:rsidR="00E55B77" w:rsidRPr="00E55B77" w:rsidRDefault="00A01F6C" w:rsidP="00A01F6C">
      <w:pPr>
        <w:rPr>
          <w:rFonts w:ascii="Times New Roman" w:hAnsi="Times New Roman" w:cs="Times New Roman"/>
          <w:b/>
          <w:bCs/>
          <w:color w:val="D86DCB" w:themeColor="accent5" w:themeTint="99"/>
          <w:sz w:val="24"/>
          <w:szCs w:val="24"/>
        </w:rPr>
      </w:pPr>
      <w:r w:rsidRPr="00E55B77">
        <w:rPr>
          <w:rFonts w:ascii="Times New Roman" w:hAnsi="Times New Roman" w:cs="Times New Roman"/>
          <w:b/>
          <w:bCs/>
          <w:color w:val="D86DCB" w:themeColor="accent5" w:themeTint="99"/>
          <w:sz w:val="24"/>
          <w:szCs w:val="24"/>
        </w:rPr>
        <w:t>AFFAIRES DISCIPLINAIRES</w:t>
      </w:r>
    </w:p>
    <w:p w14:paraId="1EFBD2A3" w14:textId="23248CA6" w:rsidR="00A01F6C" w:rsidRPr="00F8294E" w:rsidRDefault="00A01F6C" w:rsidP="00A01F6C">
      <w:pPr>
        <w:rPr>
          <w:rFonts w:ascii="Times New Roman" w:hAnsi="Times New Roman" w:cs="Times New Roman"/>
          <w:b/>
          <w:bCs/>
          <w:sz w:val="24"/>
          <w:szCs w:val="24"/>
        </w:rPr>
      </w:pPr>
      <w:r w:rsidRPr="00F8294E">
        <w:rPr>
          <w:rFonts w:ascii="Times New Roman" w:hAnsi="Times New Roman" w:cs="Times New Roman"/>
          <w:b/>
          <w:bCs/>
          <w:sz w:val="24"/>
          <w:szCs w:val="24"/>
        </w:rPr>
        <w:t xml:space="preserve">Pratique commerciale de la médecine </w:t>
      </w:r>
    </w:p>
    <w:p w14:paraId="3DCC6F1D" w14:textId="79CFABC2" w:rsidR="00A01F6C" w:rsidRPr="00413065" w:rsidRDefault="00A01F6C" w:rsidP="00A01F6C">
      <w:pPr>
        <w:rPr>
          <w:rFonts w:ascii="Times New Roman" w:hAnsi="Times New Roman" w:cs="Times New Roman"/>
          <w:sz w:val="24"/>
          <w:szCs w:val="24"/>
        </w:rPr>
      </w:pPr>
      <w:r w:rsidRPr="00413065">
        <w:rPr>
          <w:rFonts w:ascii="Times New Roman" w:hAnsi="Times New Roman" w:cs="Times New Roman"/>
          <w:b/>
          <w:bCs/>
          <w:sz w:val="24"/>
          <w:szCs w:val="24"/>
        </w:rPr>
        <w:t>Les faits</w:t>
      </w:r>
      <w:r w:rsidRPr="00413065">
        <w:rPr>
          <w:rFonts w:ascii="Times New Roman" w:hAnsi="Times New Roman" w:cs="Times New Roman"/>
          <w:sz w:val="24"/>
          <w:szCs w:val="24"/>
        </w:rPr>
        <w:t> : Le Dr B., médecin spécialiste en chirurgie plastiqu</w:t>
      </w:r>
      <w:r w:rsidR="009701AA">
        <w:rPr>
          <w:rFonts w:ascii="Times New Roman" w:hAnsi="Times New Roman" w:cs="Times New Roman"/>
          <w:sz w:val="24"/>
          <w:szCs w:val="24"/>
        </w:rPr>
        <w:t>e,</w:t>
      </w:r>
      <w:r w:rsidRPr="00413065">
        <w:rPr>
          <w:rFonts w:ascii="Times New Roman" w:hAnsi="Times New Roman" w:cs="Times New Roman"/>
          <w:sz w:val="24"/>
          <w:szCs w:val="24"/>
        </w:rPr>
        <w:t xml:space="preserve"> reconstructrice et esthétique, a fait l’apologie du Botox sur une de ses patientes interviewée dans un magazine féminin et en citant le nom du laboratoire producteur </w:t>
      </w:r>
      <w:r w:rsidR="00202C08">
        <w:rPr>
          <w:rFonts w:ascii="Times New Roman" w:hAnsi="Times New Roman" w:cs="Times New Roman"/>
          <w:sz w:val="24"/>
          <w:szCs w:val="24"/>
        </w:rPr>
        <w:t>d</w:t>
      </w:r>
      <w:r w:rsidR="00742D56">
        <w:rPr>
          <w:rFonts w:ascii="Times New Roman" w:hAnsi="Times New Roman" w:cs="Times New Roman"/>
          <w:sz w:val="24"/>
          <w:szCs w:val="24"/>
        </w:rPr>
        <w:t>udit produit</w:t>
      </w:r>
      <w:r w:rsidRPr="00413065">
        <w:rPr>
          <w:rFonts w:ascii="Times New Roman" w:hAnsi="Times New Roman" w:cs="Times New Roman"/>
          <w:sz w:val="24"/>
          <w:szCs w:val="24"/>
        </w:rPr>
        <w:t xml:space="preserve">. Le praticien met également en avant sur les réseaux sociaux ses pratiques en les illustrant avec des photos avant/après de patients-es non floutées. Le CDOM concerné a porté plainte. </w:t>
      </w:r>
    </w:p>
    <w:p w14:paraId="66CF7257" w14:textId="233DD142" w:rsidR="00A01F6C" w:rsidRPr="00413065" w:rsidRDefault="00A01F6C" w:rsidP="00A01F6C">
      <w:pPr>
        <w:rPr>
          <w:rFonts w:ascii="Times New Roman" w:hAnsi="Times New Roman" w:cs="Times New Roman"/>
          <w:sz w:val="24"/>
          <w:szCs w:val="24"/>
        </w:rPr>
      </w:pPr>
      <w:r w:rsidRPr="00413065">
        <w:rPr>
          <w:rFonts w:ascii="Times New Roman" w:hAnsi="Times New Roman" w:cs="Times New Roman"/>
          <w:b/>
          <w:bCs/>
          <w:sz w:val="24"/>
          <w:szCs w:val="24"/>
        </w:rPr>
        <w:t>Les manquements déontologiques</w:t>
      </w:r>
      <w:r w:rsidRPr="00413065">
        <w:rPr>
          <w:rFonts w:ascii="Times New Roman" w:hAnsi="Times New Roman" w:cs="Times New Roman"/>
          <w:sz w:val="24"/>
          <w:szCs w:val="24"/>
        </w:rPr>
        <w:t> : Ces pratiques contreviennent notamment à l’obligation du secret médical (article R. 4127-4 du CSP), à l’interdiction de pratiquer la médecin</w:t>
      </w:r>
      <w:r w:rsidR="00946435">
        <w:rPr>
          <w:rFonts w:ascii="Times New Roman" w:hAnsi="Times New Roman" w:cs="Times New Roman"/>
          <w:sz w:val="24"/>
          <w:szCs w:val="24"/>
        </w:rPr>
        <w:t>e</w:t>
      </w:r>
      <w:r w:rsidRPr="00413065">
        <w:rPr>
          <w:rFonts w:ascii="Times New Roman" w:hAnsi="Times New Roman" w:cs="Times New Roman"/>
          <w:sz w:val="24"/>
          <w:szCs w:val="24"/>
        </w:rPr>
        <w:t xml:space="preserve"> comme un commerce et d’assurer sa promotion personnelle (article 4127-19). En citant le nom d’un produit et du laboratoire producteur, le médecin viole l’article R. 4127-</w:t>
      </w:r>
      <w:r w:rsidR="00F8294E" w:rsidRPr="00413065">
        <w:rPr>
          <w:rFonts w:ascii="Times New Roman" w:hAnsi="Times New Roman" w:cs="Times New Roman"/>
          <w:sz w:val="24"/>
          <w:szCs w:val="24"/>
        </w:rPr>
        <w:t>20 qui</w:t>
      </w:r>
      <w:r w:rsidRPr="00413065">
        <w:rPr>
          <w:rFonts w:ascii="Times New Roman" w:hAnsi="Times New Roman" w:cs="Times New Roman"/>
          <w:sz w:val="24"/>
          <w:szCs w:val="24"/>
        </w:rPr>
        <w:t xml:space="preserve"> interdit au médecin de prêter son concours à des fins publicitaires. </w:t>
      </w:r>
    </w:p>
    <w:p w14:paraId="3F626665" w14:textId="77777777" w:rsidR="00A01F6C" w:rsidRPr="00413065" w:rsidRDefault="00A01F6C" w:rsidP="00A01F6C">
      <w:pPr>
        <w:rPr>
          <w:rFonts w:ascii="Times New Roman" w:hAnsi="Times New Roman" w:cs="Times New Roman"/>
          <w:sz w:val="24"/>
          <w:szCs w:val="24"/>
        </w:rPr>
      </w:pPr>
      <w:r w:rsidRPr="00413065">
        <w:rPr>
          <w:rFonts w:ascii="Times New Roman" w:hAnsi="Times New Roman" w:cs="Times New Roman"/>
          <w:b/>
          <w:bCs/>
          <w:sz w:val="24"/>
          <w:szCs w:val="24"/>
        </w:rPr>
        <w:t>La décision de la Chambre disciplinaire </w:t>
      </w:r>
      <w:r w:rsidRPr="00413065">
        <w:rPr>
          <w:rFonts w:ascii="Times New Roman" w:hAnsi="Times New Roman" w:cs="Times New Roman"/>
          <w:sz w:val="24"/>
          <w:szCs w:val="24"/>
        </w:rPr>
        <w:t xml:space="preserve">:  deux mois d’interdiction d’exercer la médecine, dont 15 jours ferme. </w:t>
      </w:r>
    </w:p>
    <w:p w14:paraId="1F1A967D" w14:textId="77777777" w:rsidR="00E96376" w:rsidRPr="00413065" w:rsidRDefault="00E96376" w:rsidP="00E96376">
      <w:pPr>
        <w:rPr>
          <w:rFonts w:ascii="Times New Roman" w:hAnsi="Times New Roman" w:cs="Times New Roman"/>
          <w:sz w:val="24"/>
          <w:szCs w:val="24"/>
        </w:rPr>
      </w:pPr>
    </w:p>
    <w:p w14:paraId="12753C8A" w14:textId="77777777" w:rsidR="00E96376" w:rsidRPr="00F06072" w:rsidRDefault="00E96376" w:rsidP="00563546">
      <w:pPr>
        <w:rPr>
          <w:rFonts w:ascii="Times New Roman" w:hAnsi="Times New Roman" w:cs="Times New Roman"/>
          <w:sz w:val="24"/>
          <w:szCs w:val="24"/>
        </w:rPr>
      </w:pPr>
    </w:p>
    <w:p w14:paraId="2841C92A" w14:textId="77777777" w:rsidR="00BA5A54" w:rsidRDefault="00BA5A54"/>
    <w:p w14:paraId="5E8827F6" w14:textId="77777777" w:rsidR="00563546" w:rsidRDefault="00563546"/>
    <w:sectPr w:rsidR="00563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46"/>
    <w:rsid w:val="00062D6E"/>
    <w:rsid w:val="000B31C9"/>
    <w:rsid w:val="000C29E1"/>
    <w:rsid w:val="000E2B76"/>
    <w:rsid w:val="000E3037"/>
    <w:rsid w:val="000F5E8C"/>
    <w:rsid w:val="001A5BD3"/>
    <w:rsid w:val="001E7907"/>
    <w:rsid w:val="00202C08"/>
    <w:rsid w:val="00225B02"/>
    <w:rsid w:val="002A0B8B"/>
    <w:rsid w:val="00313FEE"/>
    <w:rsid w:val="00371E84"/>
    <w:rsid w:val="003A455A"/>
    <w:rsid w:val="003E05D6"/>
    <w:rsid w:val="00413065"/>
    <w:rsid w:val="00415A99"/>
    <w:rsid w:val="005604A9"/>
    <w:rsid w:val="00563546"/>
    <w:rsid w:val="005A271F"/>
    <w:rsid w:val="00710E13"/>
    <w:rsid w:val="00720A09"/>
    <w:rsid w:val="00742D56"/>
    <w:rsid w:val="00776C0D"/>
    <w:rsid w:val="0082115A"/>
    <w:rsid w:val="0084280D"/>
    <w:rsid w:val="00843779"/>
    <w:rsid w:val="008B62F2"/>
    <w:rsid w:val="00925539"/>
    <w:rsid w:val="00946435"/>
    <w:rsid w:val="009701AA"/>
    <w:rsid w:val="0098189B"/>
    <w:rsid w:val="009B4ECD"/>
    <w:rsid w:val="00A01F6C"/>
    <w:rsid w:val="00AB37E6"/>
    <w:rsid w:val="00AC59F8"/>
    <w:rsid w:val="00B91C5D"/>
    <w:rsid w:val="00B979E7"/>
    <w:rsid w:val="00BA5A54"/>
    <w:rsid w:val="00BB26CB"/>
    <w:rsid w:val="00BB6EDA"/>
    <w:rsid w:val="00BE443F"/>
    <w:rsid w:val="00BE7030"/>
    <w:rsid w:val="00C0724D"/>
    <w:rsid w:val="00C73BEF"/>
    <w:rsid w:val="00CE6C46"/>
    <w:rsid w:val="00CF20CE"/>
    <w:rsid w:val="00D45223"/>
    <w:rsid w:val="00DC03B8"/>
    <w:rsid w:val="00E04538"/>
    <w:rsid w:val="00E36A70"/>
    <w:rsid w:val="00E55B77"/>
    <w:rsid w:val="00E803F5"/>
    <w:rsid w:val="00E96376"/>
    <w:rsid w:val="00F414DC"/>
    <w:rsid w:val="00F82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FDB7"/>
  <w15:chartTrackingRefBased/>
  <w15:docId w15:val="{222E252C-DCD9-4B63-8112-D2E81F0E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46"/>
  </w:style>
  <w:style w:type="paragraph" w:styleId="Titre1">
    <w:name w:val="heading 1"/>
    <w:basedOn w:val="Normal"/>
    <w:next w:val="Normal"/>
    <w:link w:val="Titre1Car"/>
    <w:uiPriority w:val="9"/>
    <w:qFormat/>
    <w:rsid w:val="00CE6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6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6C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6C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6C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6C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6C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6C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6C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6C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6C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6C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6C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6C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6C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6C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6C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6C46"/>
    <w:rPr>
      <w:rFonts w:eastAsiaTheme="majorEastAsia" w:cstheme="majorBidi"/>
      <w:color w:val="272727" w:themeColor="text1" w:themeTint="D8"/>
    </w:rPr>
  </w:style>
  <w:style w:type="paragraph" w:styleId="Titre">
    <w:name w:val="Title"/>
    <w:basedOn w:val="Normal"/>
    <w:next w:val="Normal"/>
    <w:link w:val="TitreCar"/>
    <w:uiPriority w:val="10"/>
    <w:qFormat/>
    <w:rsid w:val="00CE6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6C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6C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6C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6C46"/>
    <w:pPr>
      <w:spacing w:before="160"/>
      <w:jc w:val="center"/>
    </w:pPr>
    <w:rPr>
      <w:i/>
      <w:iCs/>
      <w:color w:val="404040" w:themeColor="text1" w:themeTint="BF"/>
    </w:rPr>
  </w:style>
  <w:style w:type="character" w:customStyle="1" w:styleId="CitationCar">
    <w:name w:val="Citation Car"/>
    <w:basedOn w:val="Policepardfaut"/>
    <w:link w:val="Citation"/>
    <w:uiPriority w:val="29"/>
    <w:rsid w:val="00CE6C46"/>
    <w:rPr>
      <w:i/>
      <w:iCs/>
      <w:color w:val="404040" w:themeColor="text1" w:themeTint="BF"/>
    </w:rPr>
  </w:style>
  <w:style w:type="paragraph" w:styleId="Paragraphedeliste">
    <w:name w:val="List Paragraph"/>
    <w:basedOn w:val="Normal"/>
    <w:uiPriority w:val="34"/>
    <w:qFormat/>
    <w:rsid w:val="00CE6C46"/>
    <w:pPr>
      <w:ind w:left="720"/>
      <w:contextualSpacing/>
    </w:pPr>
  </w:style>
  <w:style w:type="character" w:styleId="Accentuationintense">
    <w:name w:val="Intense Emphasis"/>
    <w:basedOn w:val="Policepardfaut"/>
    <w:uiPriority w:val="21"/>
    <w:qFormat/>
    <w:rsid w:val="00CE6C46"/>
    <w:rPr>
      <w:i/>
      <w:iCs/>
      <w:color w:val="0F4761" w:themeColor="accent1" w:themeShade="BF"/>
    </w:rPr>
  </w:style>
  <w:style w:type="paragraph" w:styleId="Citationintense">
    <w:name w:val="Intense Quote"/>
    <w:basedOn w:val="Normal"/>
    <w:next w:val="Normal"/>
    <w:link w:val="CitationintenseCar"/>
    <w:uiPriority w:val="30"/>
    <w:qFormat/>
    <w:rsid w:val="00CE6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6C46"/>
    <w:rPr>
      <w:i/>
      <w:iCs/>
      <w:color w:val="0F4761" w:themeColor="accent1" w:themeShade="BF"/>
    </w:rPr>
  </w:style>
  <w:style w:type="character" w:styleId="Rfrenceintense">
    <w:name w:val="Intense Reference"/>
    <w:basedOn w:val="Policepardfaut"/>
    <w:uiPriority w:val="32"/>
    <w:qFormat/>
    <w:rsid w:val="00CE6C46"/>
    <w:rPr>
      <w:b/>
      <w:bCs/>
      <w:smallCaps/>
      <w:color w:val="0F4761" w:themeColor="accent1" w:themeShade="BF"/>
      <w:spacing w:val="5"/>
    </w:rPr>
  </w:style>
  <w:style w:type="character" w:styleId="Lienhypertexte">
    <w:name w:val="Hyperlink"/>
    <w:basedOn w:val="Policepardfaut"/>
    <w:uiPriority w:val="99"/>
    <w:unhideWhenUsed/>
    <w:rsid w:val="00563546"/>
    <w:rPr>
      <w:color w:val="467886" w:themeColor="hyperlink"/>
      <w:u w:val="single"/>
    </w:rPr>
  </w:style>
  <w:style w:type="character" w:styleId="Lienhypertextesuivivisit">
    <w:name w:val="FollowedHyperlink"/>
    <w:basedOn w:val="Policepardfaut"/>
    <w:uiPriority w:val="99"/>
    <w:semiHidden/>
    <w:unhideWhenUsed/>
    <w:rsid w:val="00C73BEF"/>
    <w:rPr>
      <w:color w:val="96607D" w:themeColor="followedHyperlink"/>
      <w:u w:val="single"/>
    </w:rPr>
  </w:style>
  <w:style w:type="character" w:styleId="Mentionnonrsolue">
    <w:name w:val="Unresolved Mention"/>
    <w:basedOn w:val="Policepardfaut"/>
    <w:uiPriority w:val="99"/>
    <w:semiHidden/>
    <w:unhideWhenUsed/>
    <w:rsid w:val="00062D6E"/>
    <w:rPr>
      <w:color w:val="605E5C"/>
      <w:shd w:val="clear" w:color="auto" w:fill="E1DFDD"/>
    </w:rPr>
  </w:style>
  <w:style w:type="paragraph" w:styleId="NormalWeb">
    <w:name w:val="Normal (Web)"/>
    <w:basedOn w:val="Normal"/>
    <w:uiPriority w:val="99"/>
    <w:semiHidden/>
    <w:unhideWhenUsed/>
    <w:rsid w:val="005604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sdemarches.iledefrance.fr" TargetMode="External"/><Relationship Id="rId5" Type="http://schemas.openxmlformats.org/officeDocument/2006/relationships/hyperlink" Target="mailto:cd.95@ordre.medecin.fr" TargetMode="External"/><Relationship Id="rId4" Type="http://schemas.openxmlformats.org/officeDocument/2006/relationships/hyperlink" Target="https://lecrafs.com/experimentation-soumission-chim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1197</Words>
  <Characters>6585</Characters>
  <Application>Microsoft Office Word</Application>
  <DocSecurity>0</DocSecurity>
  <Lines>54</Lines>
  <Paragraphs>15</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14</cp:revision>
  <dcterms:created xsi:type="dcterms:W3CDTF">2026-02-11T08:37:00Z</dcterms:created>
  <dcterms:modified xsi:type="dcterms:W3CDTF">2026-02-12T13:55:00Z</dcterms:modified>
</cp:coreProperties>
</file>