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31FA" w14:textId="589E861D" w:rsidR="000A4D10" w:rsidRPr="00417C21" w:rsidRDefault="000A4D10" w:rsidP="000A4D10">
      <w:pP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sidR="008A6117">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févri</w:t>
      </w: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 2025</w:t>
      </w:r>
    </w:p>
    <w:p w14:paraId="0443F7E6" w14:textId="77777777" w:rsidR="000A4D10" w:rsidRPr="00417C21" w:rsidRDefault="000A4D10" w:rsidP="000A4D10">
      <w:pPr>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7C21">
        <w:rPr>
          <w:color w:val="77206D" w:themeColor="accent5"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2B723444" w14:textId="77777777" w:rsidR="00BA5A54" w:rsidRPr="000A4D10" w:rsidRDefault="00BA5A54">
      <w:pPr>
        <w:rPr>
          <w:rFonts w:ascii="Times New Roman" w:hAnsi="Times New Roman" w:cs="Times New Roman"/>
          <w:sz w:val="24"/>
          <w:szCs w:val="24"/>
        </w:rPr>
      </w:pPr>
    </w:p>
    <w:p w14:paraId="40611408" w14:textId="77777777" w:rsidR="00667A91" w:rsidRPr="00382D91" w:rsidRDefault="000A4D10" w:rsidP="00667A91">
      <w:pPr>
        <w:rPr>
          <w:rFonts w:ascii="Times New Roman" w:hAnsi="Times New Roman" w:cs="Times New Roman"/>
          <w:b/>
          <w:bCs/>
          <w:sz w:val="24"/>
          <w:szCs w:val="24"/>
        </w:rPr>
      </w:pPr>
      <w:r w:rsidRPr="00382D91">
        <w:rPr>
          <w:rFonts w:ascii="Times New Roman" w:hAnsi="Times New Roman" w:cs="Times New Roman"/>
          <w:b/>
          <w:bCs/>
          <w:sz w:val="24"/>
          <w:szCs w:val="24"/>
          <w:shd w:val="clear" w:color="auto" w:fill="FFFFFF"/>
        </w:rPr>
        <w:t xml:space="preserve">L’ACTU – </w:t>
      </w:r>
      <w:r w:rsidR="00667A91" w:rsidRPr="00382D91">
        <w:rPr>
          <w:rFonts w:ascii="Times New Roman" w:hAnsi="Times New Roman" w:cs="Times New Roman"/>
          <w:b/>
          <w:bCs/>
          <w:sz w:val="24"/>
          <w:szCs w:val="24"/>
        </w:rPr>
        <w:t>La nouvelle Clinique de l’AIT (Accident Ischémique Transitoire)</w:t>
      </w:r>
    </w:p>
    <w:p w14:paraId="0146AAB3" w14:textId="242D1C3F" w:rsidR="00867024" w:rsidRPr="004975AF" w:rsidRDefault="00867024" w:rsidP="00867024">
      <w:r w:rsidRPr="004975AF">
        <w:rPr>
          <w:b/>
          <w:bCs/>
        </w:rPr>
        <w:t>L’hôpital de Gonesse a ouvert la première structure de ce type dans le nord de l’</w:t>
      </w:r>
      <w:r>
        <w:rPr>
          <w:b/>
          <w:bCs/>
        </w:rPr>
        <w:t>I</w:t>
      </w:r>
      <w:r w:rsidRPr="004975AF">
        <w:rPr>
          <w:b/>
          <w:bCs/>
        </w:rPr>
        <w:t xml:space="preserve">le de France depuis le 17 février 2025. </w:t>
      </w:r>
      <w:r w:rsidRPr="004975AF">
        <w:t>Il s’agit d’une prise en charge rapide et structurée de l’AIT, sans passer par les urgences. L’AIT est une urgence et est suivi dans 10% des cas d’un infarctus cérébral, dont la moitié dans les 48-72h qui suivent l’AIT. Son traitement précoce réduit de 80% le risque de faire une AVC.</w:t>
      </w:r>
      <w:r>
        <w:rPr>
          <w:b/>
          <w:bCs/>
        </w:rPr>
        <w:t xml:space="preserve"> </w:t>
      </w:r>
      <w:r w:rsidRPr="004975AF">
        <w:t>Cette structure ambulatoire ouverte</w:t>
      </w:r>
      <w:r w:rsidRPr="004975AF">
        <w:rPr>
          <w:b/>
          <w:bCs/>
        </w:rPr>
        <w:t> du lundi au vendredi de 8h30 à 18h30 </w:t>
      </w:r>
      <w:r w:rsidRPr="004975AF">
        <w:t>est adossée à l’unité de soins intensifs Neurovasculaires (USINV). La durée moyenne d’hospitalisation est estimée à 4</w:t>
      </w:r>
      <w:r w:rsidR="00A04B0C">
        <w:t>H</w:t>
      </w:r>
      <w:r w:rsidRPr="004975AF">
        <w:t>.</w:t>
      </w:r>
      <w:r>
        <w:t xml:space="preserve"> </w:t>
      </w:r>
      <w:r w:rsidRPr="004975AF">
        <w:t>Les médecins (médecin généraliste, SOS médecin, régulateur centre 15, cardiologue...) ayant identifié les symptômes (paralysie facial</w:t>
      </w:r>
      <w:r w:rsidR="00D7265B">
        <w:t>e</w:t>
      </w:r>
      <w:r w:rsidRPr="004975AF">
        <w:t>, hémiparésie, troubles du langage, troubles visuels régressifs) peuvent contacter la clinique de l'AIT au </w:t>
      </w:r>
      <w:r w:rsidRPr="004975AF">
        <w:rPr>
          <w:b/>
          <w:bCs/>
        </w:rPr>
        <w:t>01.34.53.22.17</w:t>
      </w:r>
      <w:r w:rsidRPr="004975AF">
        <w:t> (numéro réservé aux médecins)</w:t>
      </w:r>
      <w:r>
        <w:t xml:space="preserve">. </w:t>
      </w:r>
    </w:p>
    <w:p w14:paraId="0F0F3506" w14:textId="6461ABA8" w:rsidR="00867024" w:rsidRPr="004975AF" w:rsidRDefault="00867024" w:rsidP="00867024">
      <w:r w:rsidRPr="004975AF">
        <w:rPr>
          <w:b/>
          <w:bCs/>
        </w:rPr>
        <w:t>Les patients admis</w:t>
      </w:r>
      <w:r w:rsidRPr="004975AF">
        <w:t xml:space="preserve"> bénéficieront d'une consultation avec un neurologue vasculaire, d'un bilan biologique, d’un enregistrement continu du rythme cardiaque (scope), d’une IRM cérébrale, un échodoppler des troncs supra-aortiques et d’une mise en place d’un traitement de prévention secondaire. Ils sortiront dans la journée après avoir été appareillé</w:t>
      </w:r>
      <w:r w:rsidR="00D7265B">
        <w:t>s</w:t>
      </w:r>
      <w:r w:rsidRPr="004975AF">
        <w:t xml:space="preserve"> avec une holter de longue durée, qu’ils garderont jusqu’à une nouvelle venue, une semaine </w:t>
      </w:r>
      <w:r w:rsidR="002E682A">
        <w:t>plus tard</w:t>
      </w:r>
      <w:r w:rsidR="00A0559C">
        <w:t>. Le</w:t>
      </w:r>
      <w:r w:rsidRPr="004975AF">
        <w:t xml:space="preserve"> reste du bilan </w:t>
      </w:r>
      <w:r w:rsidR="00A0559C">
        <w:t>est alors</w:t>
      </w:r>
      <w:r w:rsidRPr="004975AF">
        <w:t xml:space="preserve"> réalisé : angioscanner, échographie cardiaque, évaluation avec une IPA et une conclusion faite par un neurologue. D’autres intervenants peuvent être sollicités tel</w:t>
      </w:r>
      <w:r w:rsidR="00465A96">
        <w:t>s</w:t>
      </w:r>
      <w:r w:rsidRPr="004975AF">
        <w:t xml:space="preserve"> qu’une diététicienne, un addictologue, assistante sociale, un cardiologue, ou un autre spécialiste</w:t>
      </w:r>
      <w:r>
        <w:t xml:space="preserve">. </w:t>
      </w:r>
    </w:p>
    <w:p w14:paraId="5571F029" w14:textId="77777777" w:rsidR="00867024" w:rsidRPr="004975AF" w:rsidRDefault="00867024" w:rsidP="00867024">
      <w:pPr>
        <w:rPr>
          <w:b/>
          <w:bCs/>
        </w:rPr>
      </w:pPr>
      <w:r w:rsidRPr="004975AF">
        <w:rPr>
          <w:b/>
          <w:bCs/>
        </w:rPr>
        <w:t xml:space="preserve">Dr </w:t>
      </w:r>
      <w:proofErr w:type="spellStart"/>
      <w:r w:rsidRPr="004975AF">
        <w:rPr>
          <w:b/>
          <w:bCs/>
        </w:rPr>
        <w:t>Eric</w:t>
      </w:r>
      <w:proofErr w:type="spellEnd"/>
      <w:r w:rsidRPr="004975AF">
        <w:rPr>
          <w:b/>
          <w:bCs/>
        </w:rPr>
        <w:t xml:space="preserve"> Manchon, Chef du service de Neurologie au Centre Hospitalier de Gonesse. </w:t>
      </w:r>
    </w:p>
    <w:p w14:paraId="5E76A1E3" w14:textId="77777777" w:rsidR="0083361B" w:rsidRPr="00382D91" w:rsidRDefault="0083361B" w:rsidP="0083361B">
      <w:pPr>
        <w:rPr>
          <w:rFonts w:ascii="Times New Roman" w:hAnsi="Times New Roman" w:cs="Times New Roman"/>
          <w:b/>
          <w:bCs/>
          <w:sz w:val="24"/>
          <w:szCs w:val="24"/>
        </w:rPr>
      </w:pPr>
    </w:p>
    <w:p w14:paraId="2CCA6B42" w14:textId="77777777" w:rsidR="006C7961" w:rsidRPr="00260FB3" w:rsidRDefault="006C7961" w:rsidP="006C7961">
      <w:pPr>
        <w:rPr>
          <w:b/>
          <w:bCs/>
        </w:rPr>
      </w:pPr>
      <w:r w:rsidRPr="00260FB3">
        <w:rPr>
          <w:b/>
          <w:bCs/>
        </w:rPr>
        <w:t>SOUMISSION CHIMIQUE</w:t>
      </w:r>
    </w:p>
    <w:p w14:paraId="6C818E80" w14:textId="77777777" w:rsidR="006C7961" w:rsidRPr="00260FB3" w:rsidRDefault="006C7961" w:rsidP="006C7961">
      <w:pPr>
        <w:rPr>
          <w:b/>
          <w:bCs/>
        </w:rPr>
      </w:pPr>
      <w:r w:rsidRPr="00260FB3">
        <w:rPr>
          <w:b/>
          <w:bCs/>
        </w:rPr>
        <w:t xml:space="preserve">Comment repérer et assister une patiente potentiellement victime ? Mise en situation entre un médecin généraliste et la Dr Leila </w:t>
      </w:r>
      <w:proofErr w:type="spellStart"/>
      <w:r w:rsidRPr="00260FB3">
        <w:rPr>
          <w:b/>
          <w:bCs/>
        </w:rPr>
        <w:t>Chaouachi</w:t>
      </w:r>
      <w:proofErr w:type="spellEnd"/>
      <w:r w:rsidRPr="00260FB3">
        <w:rPr>
          <w:b/>
          <w:bCs/>
        </w:rPr>
        <w:t>, pharmacienne pharmacologue, fondatrice du Centre de Référence sur les Agressions Facilitées par les Substances (</w:t>
      </w:r>
      <w:r>
        <w:rPr>
          <w:b/>
          <w:bCs/>
        </w:rPr>
        <w:t xml:space="preserve">Le </w:t>
      </w:r>
      <w:proofErr w:type="gramStart"/>
      <w:r w:rsidRPr="00260FB3">
        <w:rPr>
          <w:b/>
          <w:bCs/>
        </w:rPr>
        <w:t>CRAFS)</w:t>
      </w:r>
      <w:r>
        <w:rPr>
          <w:b/>
          <w:bCs/>
        </w:rPr>
        <w:t>*</w:t>
      </w:r>
      <w:proofErr w:type="gramEnd"/>
      <w:r w:rsidRPr="00260FB3">
        <w:rPr>
          <w:b/>
          <w:bCs/>
        </w:rPr>
        <w:t>.</w:t>
      </w:r>
    </w:p>
    <w:p w14:paraId="4144C84D" w14:textId="77777777" w:rsidR="006C7961" w:rsidRPr="00260FB3" w:rsidRDefault="006C7961" w:rsidP="006C7961">
      <w:pPr>
        <w:rPr>
          <w:b/>
          <w:bCs/>
        </w:rPr>
      </w:pPr>
      <w:r w:rsidRPr="00260FB3">
        <w:rPr>
          <w:b/>
          <w:bCs/>
        </w:rPr>
        <w:t>1.      Dr M. : Une de mes jeunes patientes signale un lendemain de soirée arrosée, et craint avoir été droguée à son insu à des fins de violences sexuelles. Quelle est la conduite à tenir ?</w:t>
      </w:r>
    </w:p>
    <w:p w14:paraId="06C4F8EF" w14:textId="77777777" w:rsidR="006C7961" w:rsidRPr="00260FB3" w:rsidRDefault="006C7961" w:rsidP="006C7961">
      <w:pPr>
        <w:rPr>
          <w:b/>
          <w:bCs/>
        </w:rPr>
      </w:pPr>
      <w:r w:rsidRPr="00260FB3">
        <w:rPr>
          <w:b/>
          <w:bCs/>
        </w:rPr>
        <w:t>Le Dr L.C : </w:t>
      </w:r>
      <w:r w:rsidRPr="00260FB3">
        <w:t>Dans le cas de violences sexuelles avérées ou suspectées, il revient au médecin d’évaluer les risques de contamination infectieuse et de grossesse non désirée, et de prescrire le cas échéant une prophylaxie anti-VIH/VHB et une contraception d'urgence tout en mettant en place un suivi infectieux. Il convient de rédiger un certificat médical initial </w:t>
      </w:r>
      <w:hyperlink r:id="rId5" w:anchor=":~:text=Ce%20document%20%C3%A9crit%20repr%C3%A9sente%20un,des%20poursuites%20contre%20l'agresseur." w:tgtFrame="_blank" w:history="1">
        <w:r w:rsidRPr="00260FB3">
          <w:rPr>
            <w:rStyle w:val="Lienhypertexte"/>
          </w:rPr>
          <w:t>dans le respect de la législation et réglementation en vigueur</w:t>
        </w:r>
      </w:hyperlink>
      <w:r w:rsidRPr="00260FB3">
        <w:t xml:space="preserve"> et d’encourager la judiciarisation dans les meilleurs délais. En effet, pour établir qu’une substance psychoactive a été administrée à l’insu de la personne, les prélèvements conservatoires de sang et d'urines à des fins d'analyses </w:t>
      </w:r>
      <w:r w:rsidRPr="00260FB3">
        <w:lastRenderedPageBreak/>
        <w:t>toxicologiques doivent être réalisées très rapidement au regard de la cinétique des produits. La meilleure solution est bien sûr d’adresser cette patiente à une UMJ, où ces analyses seraient réalisées et prises en charge par l’Assurance Maladie, ce qui est possible seulement si la victime porte plainte. Quelle que soit la situation, proposez systématiquement à la victime de contacter le CRAFS</w:t>
      </w:r>
      <w:r>
        <w:t>*</w:t>
      </w:r>
      <w:r w:rsidRPr="00260FB3">
        <w:t xml:space="preserve"> pour un </w:t>
      </w:r>
      <w:proofErr w:type="spellStart"/>
      <w:r w:rsidRPr="00260FB3">
        <w:t>téléconseil</w:t>
      </w:r>
      <w:proofErr w:type="spellEnd"/>
      <w:r w:rsidRPr="00260FB3">
        <w:t xml:space="preserve"> spécialisé et personnalisé</w:t>
      </w:r>
      <w:r>
        <w:t xml:space="preserve">. </w:t>
      </w:r>
    </w:p>
    <w:p w14:paraId="4D8E9CD3" w14:textId="3F647A06" w:rsidR="006C7961" w:rsidRPr="00260FB3" w:rsidRDefault="006C7961" w:rsidP="006C7961">
      <w:pPr>
        <w:rPr>
          <w:b/>
          <w:bCs/>
        </w:rPr>
      </w:pPr>
      <w:r w:rsidRPr="00260FB3">
        <w:rPr>
          <w:b/>
          <w:bCs/>
        </w:rPr>
        <w:t xml:space="preserve"> 2.      Dr M : Puis-je prescrire des analyses pour détecter une soumission chimique, et vers quel laboratoire du Val d’Oise adresser ma patiente dans ce </w:t>
      </w:r>
      <w:r w:rsidR="00E4340D" w:rsidRPr="00260FB3">
        <w:rPr>
          <w:b/>
          <w:bCs/>
        </w:rPr>
        <w:t>cas ?</w:t>
      </w:r>
    </w:p>
    <w:p w14:paraId="732326BD" w14:textId="711D5936" w:rsidR="006C7961" w:rsidRPr="00260FB3" w:rsidRDefault="006C7961" w:rsidP="006C7961">
      <w:r w:rsidRPr="00260FB3">
        <w:rPr>
          <w:b/>
          <w:bCs/>
        </w:rPr>
        <w:t>Dr L.C : </w:t>
      </w:r>
      <w:r w:rsidRPr="00260FB3">
        <w:t>L'analyse des prélèvements conservatoires est confiée aux laboratoires de toxicologie expert</w:t>
      </w:r>
      <w:r>
        <w:t>s,</w:t>
      </w:r>
      <w:r w:rsidRPr="00260FB3">
        <w:t xml:space="preserve"> seuls compétents pour la détection des agents de soumission chimique. Actuellement, le circuit organisé sur le territoire national et permettant la prise en charge de ces analyses est le circuit judiciaire. Pour rappel, ces analyses ont un coût élevé (jusqu’à 1100 € pour une recherche dans le sang ou les urines, 1200€ pour les cheveux selon le code de procédure pénale). En dehors d'un dépôt de plainte, ils ne peuvent être pris en charge par l'Assurance maladie. Cela pourrait changer prochainement ; le CNOM a demandé que les analyses toxicologiques par les experts toxicologues puissent être remboursées. Ce dispositif devrait être testé sur 3 régions à titre expérimental en 2025. Si toutefois, la victime est prête à payer les analyses, il convient de prescrire une ordonnance à recherche de toute substance pouvant altérer l'état de conscience et de discernement. Compte tenu de l'hétérogén</w:t>
      </w:r>
      <w:r w:rsidR="00821FF0">
        <w:t>é</w:t>
      </w:r>
      <w:r w:rsidRPr="00260FB3">
        <w:t xml:space="preserve">ité du maillage territorial, il est nécessaire d'adresser les victimes au CRAFS pour être orienté vers un laboratoire expert. Pour rappel, les laboratoires de biologie médicale de ville ne sont pas en mesure de réaliser cette expertise </w:t>
      </w:r>
      <w:proofErr w:type="spellStart"/>
      <w:r w:rsidRPr="00260FB3">
        <w:t>forensic</w:t>
      </w:r>
      <w:proofErr w:type="spellEnd"/>
      <w:r w:rsidRPr="00260FB3">
        <w:t>.</w:t>
      </w:r>
    </w:p>
    <w:p w14:paraId="26920391" w14:textId="77777777" w:rsidR="006C7961" w:rsidRPr="00260FB3" w:rsidRDefault="006C7961" w:rsidP="006C7961">
      <w:pPr>
        <w:rPr>
          <w:b/>
          <w:bCs/>
        </w:rPr>
      </w:pPr>
      <w:r w:rsidRPr="00260FB3">
        <w:rPr>
          <w:b/>
          <w:bCs/>
        </w:rPr>
        <w:t> 3.      Dr M : En quoi le CRAFS* peut-il m’être utile dans ma pratique ?</w:t>
      </w:r>
    </w:p>
    <w:p w14:paraId="4A9FA286" w14:textId="1DBF4411" w:rsidR="006C7961" w:rsidRDefault="006C7961" w:rsidP="006C7961">
      <w:pPr>
        <w:rPr>
          <w:b/>
          <w:bCs/>
        </w:rPr>
      </w:pPr>
      <w:r w:rsidRPr="00260FB3">
        <w:rPr>
          <w:b/>
          <w:bCs/>
        </w:rPr>
        <w:t xml:space="preserve">Dr L.C : </w:t>
      </w:r>
      <w:r w:rsidRPr="00260FB3">
        <w:t xml:space="preserve">Il s’agit d'un centre ressource et de </w:t>
      </w:r>
      <w:proofErr w:type="spellStart"/>
      <w:r w:rsidRPr="00260FB3">
        <w:t>téléconseil</w:t>
      </w:r>
      <w:proofErr w:type="spellEnd"/>
      <w:r w:rsidRPr="00260FB3">
        <w:t xml:space="preserve"> spécialisé sur les agressions facilitées par les substances</w:t>
      </w:r>
      <w:r w:rsidR="00C13031">
        <w:t>. Il a été</w:t>
      </w:r>
      <w:r w:rsidRPr="00260FB3">
        <w:t xml:space="preserve"> mis en place pendant le procès des viols de </w:t>
      </w:r>
      <w:proofErr w:type="spellStart"/>
      <w:r w:rsidRPr="00260FB3">
        <w:t>Mazan</w:t>
      </w:r>
      <w:proofErr w:type="spellEnd"/>
      <w:r w:rsidRPr="00260FB3">
        <w:t xml:space="preserve"> en octobre 2024 pour répondre à cette préoccupation croissante au sein de la population générale et des professionnels. Vous pouvez y contacter au téléphon</w:t>
      </w:r>
      <w:r>
        <w:t xml:space="preserve">e </w:t>
      </w:r>
      <w:r w:rsidRPr="00260FB3">
        <w:t xml:space="preserve">des femmes pharmacologues spécialisées dans l'usage criminel, formées aux violences sexistes et sexuelles et au </w:t>
      </w:r>
      <w:proofErr w:type="spellStart"/>
      <w:r w:rsidRPr="00260FB3">
        <w:t>psychotraumatisme</w:t>
      </w:r>
      <w:proofErr w:type="spellEnd"/>
      <w:r w:rsidRPr="00260FB3">
        <w:t>, qui répondent en temps réel aux questions pouvant se poser sur le repérage des victimes, les substances utilisées, leurs délais de détection, les analyses à réaliser et autres recueils de preuves utiles. En ligne, vous trouverez également des données chiffrées et des liens vers des ressources telles que les sociétés savantes, les modèles de certificats médicaux initiaux, des études ciblées sur les agressions facilitées par les substances</w:t>
      </w:r>
      <w:r w:rsidRPr="00260FB3">
        <w:rPr>
          <w:b/>
          <w:bCs/>
        </w:rPr>
        <w:t>. </w:t>
      </w:r>
    </w:p>
    <w:p w14:paraId="692AC824" w14:textId="77777777" w:rsidR="006C7961" w:rsidRDefault="006C7961" w:rsidP="006C7961">
      <w:pPr>
        <w:rPr>
          <w:b/>
          <w:bCs/>
        </w:rPr>
      </w:pPr>
      <w:proofErr w:type="spellStart"/>
      <w:r>
        <w:rPr>
          <w:b/>
          <w:bCs/>
        </w:rPr>
        <w:t>LeCRAFS</w:t>
      </w:r>
      <w:proofErr w:type="spellEnd"/>
      <w:r>
        <w:rPr>
          <w:b/>
          <w:bCs/>
        </w:rPr>
        <w:t xml:space="preserve"> : 01 40 05 42 70 et </w:t>
      </w:r>
      <w:r w:rsidRPr="001E0EA9">
        <w:rPr>
          <w:b/>
          <w:bCs/>
        </w:rPr>
        <w:t>https://lecrafs.com/</w:t>
      </w:r>
    </w:p>
    <w:p w14:paraId="294D08A3" w14:textId="77777777" w:rsidR="006C7961" w:rsidRDefault="006C7961" w:rsidP="006C7961">
      <w:pPr>
        <w:rPr>
          <w:b/>
          <w:bCs/>
        </w:rPr>
      </w:pPr>
      <w:r w:rsidRPr="00260FB3">
        <w:rPr>
          <w:b/>
          <w:bCs/>
        </w:rPr>
        <w:t xml:space="preserve"> *lien vers le site </w:t>
      </w:r>
      <w:hyperlink r:id="rId6" w:tgtFrame="_blank" w:history="1">
        <w:r w:rsidRPr="00260FB3">
          <w:rPr>
            <w:rStyle w:val="Lienhypertexte"/>
            <w:b/>
            <w:bCs/>
          </w:rPr>
          <w:t>www.lecrafs.com</w:t>
        </w:r>
      </w:hyperlink>
      <w:r w:rsidRPr="00260FB3">
        <w:rPr>
          <w:b/>
          <w:bCs/>
        </w:rPr>
        <w:t> </w:t>
      </w:r>
    </w:p>
    <w:p w14:paraId="1328B296" w14:textId="77777777" w:rsidR="00382D91" w:rsidRPr="00382D91" w:rsidRDefault="00382D91" w:rsidP="000A4D10">
      <w:pPr>
        <w:rPr>
          <w:rFonts w:ascii="Times New Roman" w:hAnsi="Times New Roman" w:cs="Times New Roman"/>
          <w:b/>
          <w:bCs/>
          <w:sz w:val="24"/>
          <w:szCs w:val="24"/>
          <w:shd w:val="clear" w:color="auto" w:fill="FFFFFF"/>
        </w:rPr>
      </w:pPr>
    </w:p>
    <w:p w14:paraId="6DF6314E" w14:textId="62C3F8B2" w:rsidR="000A4D10" w:rsidRPr="00382D91" w:rsidRDefault="000A4D10" w:rsidP="000A4D10">
      <w:pPr>
        <w:rPr>
          <w:rFonts w:ascii="Times New Roman" w:hAnsi="Times New Roman" w:cs="Times New Roman"/>
          <w:b/>
          <w:bCs/>
          <w:sz w:val="24"/>
          <w:szCs w:val="24"/>
          <w:shd w:val="clear" w:color="auto" w:fill="FFFFFF"/>
        </w:rPr>
      </w:pPr>
      <w:r w:rsidRPr="00382D91">
        <w:rPr>
          <w:rFonts w:ascii="Times New Roman" w:hAnsi="Times New Roman" w:cs="Times New Roman"/>
          <w:b/>
          <w:bCs/>
          <w:sz w:val="24"/>
          <w:szCs w:val="24"/>
          <w:shd w:val="clear" w:color="auto" w:fill="FFFFFF"/>
        </w:rPr>
        <w:t>AFFAIRES DISCIPLINAIRES</w:t>
      </w:r>
    </w:p>
    <w:p w14:paraId="611121CD" w14:textId="77777777" w:rsidR="001D7873" w:rsidRPr="00382D91" w:rsidRDefault="001D7873" w:rsidP="001D7873">
      <w:pPr>
        <w:rPr>
          <w:rFonts w:ascii="Times New Roman" w:hAnsi="Times New Roman" w:cs="Times New Roman"/>
          <w:b/>
          <w:bCs/>
          <w:sz w:val="24"/>
          <w:szCs w:val="24"/>
        </w:rPr>
      </w:pPr>
      <w:r w:rsidRPr="00382D91">
        <w:rPr>
          <w:rFonts w:ascii="Times New Roman" w:hAnsi="Times New Roman" w:cs="Times New Roman"/>
          <w:b/>
          <w:bCs/>
          <w:sz w:val="24"/>
          <w:szCs w:val="24"/>
        </w:rPr>
        <w:t xml:space="preserve">Plainte pour harcèlement sexuel </w:t>
      </w:r>
    </w:p>
    <w:p w14:paraId="694AAD22" w14:textId="28F3CF7C" w:rsidR="001D7873" w:rsidRPr="00382D91" w:rsidRDefault="001D7873" w:rsidP="001D7873">
      <w:pPr>
        <w:rPr>
          <w:rFonts w:ascii="Times New Roman" w:hAnsi="Times New Roman" w:cs="Times New Roman"/>
          <w:sz w:val="24"/>
          <w:szCs w:val="24"/>
        </w:rPr>
      </w:pPr>
      <w:r w:rsidRPr="00382D91">
        <w:rPr>
          <w:rFonts w:ascii="Times New Roman" w:hAnsi="Times New Roman" w:cs="Times New Roman"/>
          <w:b/>
          <w:bCs/>
          <w:sz w:val="24"/>
          <w:szCs w:val="24"/>
        </w:rPr>
        <w:t>Les faits</w:t>
      </w:r>
      <w:r w:rsidRPr="00382D91">
        <w:rPr>
          <w:rFonts w:ascii="Times New Roman" w:hAnsi="Times New Roman" w:cs="Times New Roman"/>
          <w:sz w:val="24"/>
          <w:szCs w:val="24"/>
        </w:rPr>
        <w:t> : Reçue en consultation par le Dr B., gastro-entérologue, Mme K. reproche à celui-ci un comportement déplacé qu’elle qualifie de harcèlement sexuel. Il aurait posé des questions « à caractère intime », proposé des attouchements douteux, palpé le haut de son corps. La plaignante tente aussi d’imputer au Dr B</w:t>
      </w:r>
      <w:r w:rsidR="00DD216A">
        <w:rPr>
          <w:rFonts w:ascii="Times New Roman" w:hAnsi="Times New Roman" w:cs="Times New Roman"/>
          <w:sz w:val="24"/>
          <w:szCs w:val="24"/>
        </w:rPr>
        <w:t>.</w:t>
      </w:r>
      <w:r w:rsidRPr="00382D91">
        <w:rPr>
          <w:rFonts w:ascii="Times New Roman" w:hAnsi="Times New Roman" w:cs="Times New Roman"/>
          <w:sz w:val="24"/>
          <w:szCs w:val="24"/>
        </w:rPr>
        <w:t xml:space="preserve"> un retard fautif de diagnostic d’un cancer du </w:t>
      </w:r>
      <w:r w:rsidRPr="00382D91">
        <w:rPr>
          <w:rFonts w:ascii="Times New Roman" w:hAnsi="Times New Roman" w:cs="Times New Roman"/>
          <w:sz w:val="24"/>
          <w:szCs w:val="24"/>
        </w:rPr>
        <w:lastRenderedPageBreak/>
        <w:t>pancréas révélé deux ans plus tard ; or le médecin avait prescrit une échographie abdominale et n’a ensuite pas revu la patiente. Le Dr B. conteste ces accusations, faisant valoir qu</w:t>
      </w:r>
      <w:r w:rsidR="00543765">
        <w:rPr>
          <w:rFonts w:ascii="Times New Roman" w:hAnsi="Times New Roman" w:cs="Times New Roman"/>
          <w:sz w:val="24"/>
          <w:szCs w:val="24"/>
        </w:rPr>
        <w:t>e</w:t>
      </w:r>
      <w:r w:rsidRPr="00382D91">
        <w:rPr>
          <w:rFonts w:ascii="Times New Roman" w:hAnsi="Times New Roman" w:cs="Times New Roman"/>
          <w:sz w:val="24"/>
          <w:szCs w:val="24"/>
        </w:rPr>
        <w:t xml:space="preserve"> son attitude </w:t>
      </w:r>
      <w:r w:rsidR="00543765" w:rsidRPr="00382D91">
        <w:rPr>
          <w:rFonts w:ascii="Times New Roman" w:hAnsi="Times New Roman" w:cs="Times New Roman"/>
          <w:sz w:val="24"/>
          <w:szCs w:val="24"/>
        </w:rPr>
        <w:t>extraverti</w:t>
      </w:r>
      <w:r w:rsidR="00543765">
        <w:rPr>
          <w:rFonts w:ascii="Times New Roman" w:hAnsi="Times New Roman" w:cs="Times New Roman"/>
          <w:sz w:val="24"/>
          <w:szCs w:val="24"/>
        </w:rPr>
        <w:t xml:space="preserve">e </w:t>
      </w:r>
      <w:r w:rsidR="00543765" w:rsidRPr="00382D91">
        <w:rPr>
          <w:rFonts w:ascii="Times New Roman" w:hAnsi="Times New Roman" w:cs="Times New Roman"/>
          <w:sz w:val="24"/>
          <w:szCs w:val="24"/>
        </w:rPr>
        <w:t xml:space="preserve">et empathique </w:t>
      </w:r>
      <w:r w:rsidRPr="00382D91">
        <w:rPr>
          <w:rFonts w:ascii="Times New Roman" w:hAnsi="Times New Roman" w:cs="Times New Roman"/>
          <w:sz w:val="24"/>
          <w:szCs w:val="24"/>
        </w:rPr>
        <w:t xml:space="preserve">a pu être mal comprise, </w:t>
      </w:r>
      <w:r w:rsidR="00F906A1">
        <w:rPr>
          <w:rFonts w:ascii="Times New Roman" w:hAnsi="Times New Roman" w:cs="Times New Roman"/>
          <w:sz w:val="24"/>
          <w:szCs w:val="24"/>
        </w:rPr>
        <w:t>et produisant</w:t>
      </w:r>
      <w:r w:rsidRPr="00382D91">
        <w:rPr>
          <w:rFonts w:ascii="Times New Roman" w:hAnsi="Times New Roman" w:cs="Times New Roman"/>
          <w:sz w:val="24"/>
          <w:szCs w:val="24"/>
        </w:rPr>
        <w:t xml:space="preserve"> de nombreuses attestations élogieuses de confrères le jour de l’audience. </w:t>
      </w:r>
    </w:p>
    <w:p w14:paraId="70E0CE43" w14:textId="77777777" w:rsidR="001D7873" w:rsidRPr="00382D91" w:rsidRDefault="001D7873" w:rsidP="001D7873">
      <w:pPr>
        <w:rPr>
          <w:rFonts w:ascii="Times New Roman" w:hAnsi="Times New Roman" w:cs="Times New Roman"/>
          <w:sz w:val="24"/>
          <w:szCs w:val="24"/>
        </w:rPr>
      </w:pPr>
      <w:r w:rsidRPr="00382D91">
        <w:rPr>
          <w:rFonts w:ascii="Times New Roman" w:hAnsi="Times New Roman" w:cs="Times New Roman"/>
          <w:b/>
          <w:bCs/>
          <w:sz w:val="24"/>
          <w:szCs w:val="24"/>
        </w:rPr>
        <w:t>Les manquements déontologiques</w:t>
      </w:r>
      <w:r w:rsidRPr="00382D91">
        <w:rPr>
          <w:rFonts w:ascii="Times New Roman" w:hAnsi="Times New Roman" w:cs="Times New Roman"/>
          <w:sz w:val="24"/>
          <w:szCs w:val="24"/>
        </w:rPr>
        <w:t> : Mme K. n’établit pas la réalité des faits qu’elle reproche au Dr B. Par conséquent, selon l’article R. 4126-11 du code la santé publique, «</w:t>
      </w:r>
      <w:r w:rsidRPr="00382D91">
        <w:rPr>
          <w:rFonts w:ascii="Times New Roman" w:hAnsi="Times New Roman" w:cs="Times New Roman"/>
          <w:i/>
          <w:sz w:val="24"/>
          <w:szCs w:val="24"/>
        </w:rPr>
        <w:t xml:space="preserve"> Dans toutes les instances, le président de la chambre disciplinaire nationale </w:t>
      </w:r>
      <w:r w:rsidRPr="00382D91">
        <w:rPr>
          <w:rFonts w:ascii="Times New Roman" w:hAnsi="Times New Roman" w:cs="Times New Roman"/>
          <w:iCs/>
          <w:sz w:val="24"/>
          <w:szCs w:val="24"/>
        </w:rPr>
        <w:t>[peut]</w:t>
      </w:r>
      <w:r w:rsidRPr="00382D91">
        <w:rPr>
          <w:rFonts w:ascii="Times New Roman" w:hAnsi="Times New Roman" w:cs="Times New Roman"/>
          <w:i/>
          <w:sz w:val="24"/>
          <w:szCs w:val="24"/>
        </w:rPr>
        <w:t xml:space="preserve"> par ordonnance motivée, sans instruction préalable, rejeter les plaintes ou les requêtes manifestement irrecevables (…) » </w:t>
      </w:r>
    </w:p>
    <w:p w14:paraId="7B55C32B" w14:textId="77116FFB" w:rsidR="001D7873" w:rsidRPr="00382D91" w:rsidRDefault="001D7873" w:rsidP="001D7873">
      <w:pPr>
        <w:rPr>
          <w:rFonts w:ascii="Times New Roman" w:hAnsi="Times New Roman" w:cs="Times New Roman"/>
          <w:sz w:val="24"/>
          <w:szCs w:val="24"/>
        </w:rPr>
      </w:pPr>
      <w:r w:rsidRPr="00382D91">
        <w:rPr>
          <w:rFonts w:ascii="Times New Roman" w:hAnsi="Times New Roman" w:cs="Times New Roman"/>
          <w:b/>
          <w:bCs/>
          <w:sz w:val="24"/>
          <w:szCs w:val="24"/>
        </w:rPr>
        <w:t>La décision de la chambre disciplinaire</w:t>
      </w:r>
      <w:r w:rsidRPr="00382D91">
        <w:rPr>
          <w:rFonts w:ascii="Times New Roman" w:hAnsi="Times New Roman" w:cs="Times New Roman"/>
          <w:sz w:val="24"/>
          <w:szCs w:val="24"/>
        </w:rPr>
        <w:t xml:space="preserve"> : La plainte est rejetée en première instance. Portée en appel, </w:t>
      </w:r>
      <w:r w:rsidR="00A41B44">
        <w:rPr>
          <w:rFonts w:ascii="Times New Roman" w:hAnsi="Times New Roman" w:cs="Times New Roman"/>
          <w:sz w:val="24"/>
          <w:szCs w:val="24"/>
        </w:rPr>
        <w:t>c</w:t>
      </w:r>
      <w:r w:rsidRPr="00382D91">
        <w:rPr>
          <w:rFonts w:ascii="Times New Roman" w:hAnsi="Times New Roman" w:cs="Times New Roman"/>
          <w:sz w:val="24"/>
          <w:szCs w:val="24"/>
        </w:rPr>
        <w:t>elle</w:t>
      </w:r>
      <w:r w:rsidR="00A41B44">
        <w:rPr>
          <w:rFonts w:ascii="Times New Roman" w:hAnsi="Times New Roman" w:cs="Times New Roman"/>
          <w:sz w:val="24"/>
          <w:szCs w:val="24"/>
        </w:rPr>
        <w:t>-ci</w:t>
      </w:r>
      <w:r w:rsidRPr="00382D91">
        <w:rPr>
          <w:rFonts w:ascii="Times New Roman" w:hAnsi="Times New Roman" w:cs="Times New Roman"/>
          <w:sz w:val="24"/>
          <w:szCs w:val="24"/>
        </w:rPr>
        <w:t xml:space="preserve"> a fait l’objet d’un nouveau rejet. </w:t>
      </w:r>
    </w:p>
    <w:p w14:paraId="11BD9278" w14:textId="77777777" w:rsidR="00344AF3" w:rsidRPr="00382D91" w:rsidRDefault="00344AF3" w:rsidP="001D7873">
      <w:pPr>
        <w:rPr>
          <w:rFonts w:ascii="Times New Roman" w:hAnsi="Times New Roman" w:cs="Times New Roman"/>
          <w:sz w:val="24"/>
          <w:szCs w:val="24"/>
        </w:rPr>
      </w:pPr>
    </w:p>
    <w:p w14:paraId="3EEE4257" w14:textId="77777777" w:rsidR="00B05756" w:rsidRPr="00382D91" w:rsidRDefault="00B05756" w:rsidP="00B05756">
      <w:pPr>
        <w:rPr>
          <w:rFonts w:ascii="Times New Roman" w:hAnsi="Times New Roman" w:cs="Times New Roman"/>
          <w:b/>
          <w:bCs/>
          <w:sz w:val="24"/>
          <w:szCs w:val="24"/>
        </w:rPr>
      </w:pPr>
      <w:r w:rsidRPr="00382D91">
        <w:rPr>
          <w:rFonts w:ascii="Times New Roman" w:hAnsi="Times New Roman" w:cs="Times New Roman"/>
          <w:b/>
          <w:bCs/>
          <w:sz w:val="24"/>
          <w:szCs w:val="24"/>
        </w:rPr>
        <w:t>MEDECINE ET RESEAUX SOCIAUX</w:t>
      </w:r>
    </w:p>
    <w:p w14:paraId="5573D367" w14:textId="77777777" w:rsidR="00B05756" w:rsidRPr="00382D91" w:rsidRDefault="00B05756" w:rsidP="00B05756">
      <w:pPr>
        <w:rPr>
          <w:rFonts w:ascii="Times New Roman" w:hAnsi="Times New Roman" w:cs="Times New Roman"/>
          <w:sz w:val="24"/>
          <w:szCs w:val="24"/>
        </w:rPr>
      </w:pPr>
      <w:r w:rsidRPr="00382D91">
        <w:rPr>
          <w:rFonts w:ascii="Times New Roman" w:hAnsi="Times New Roman" w:cs="Times New Roman"/>
          <w:sz w:val="24"/>
          <w:szCs w:val="24"/>
        </w:rPr>
        <w:t>Le Conseil national de l'Ordre des médecins a travaillé avec des médecins créateurs de contenu sur les réseaux sociaux et avec des experts de YouTube à l’élaboration d’une charte de 10 principes.</w:t>
      </w:r>
      <w:r w:rsidRPr="00382D91">
        <w:rPr>
          <w:rFonts w:ascii="Times New Roman" w:hAnsi="Times New Roman" w:cs="Times New Roman"/>
          <w:color w:val="0C2050"/>
          <w:sz w:val="24"/>
          <w:szCs w:val="24"/>
          <w:shd w:val="clear" w:color="auto" w:fill="FFFFFF"/>
        </w:rPr>
        <w:t xml:space="preserve"> </w:t>
      </w:r>
      <w:r w:rsidRPr="00382D91">
        <w:rPr>
          <w:rFonts w:ascii="Times New Roman" w:hAnsi="Times New Roman" w:cs="Times New Roman"/>
          <w:sz w:val="24"/>
          <w:szCs w:val="24"/>
        </w:rPr>
        <w:t>Son objectif est de favoriser une information médicale rigoureuse et accessible, pour lutter contre la désinformation en matière médicale et protéger la santé collective. Cette charte vise à rappeler le cadre éthique et déontologique qui se pose aux médecins, notamment en termes de :</w:t>
      </w:r>
    </w:p>
    <w:p w14:paraId="5782016A" w14:textId="77777777" w:rsidR="00B05756" w:rsidRPr="00382D91" w:rsidRDefault="00B05756" w:rsidP="00B05756">
      <w:pPr>
        <w:rPr>
          <w:rFonts w:ascii="Times New Roman" w:hAnsi="Times New Roman" w:cs="Times New Roman"/>
          <w:sz w:val="24"/>
          <w:szCs w:val="24"/>
        </w:rPr>
      </w:pPr>
      <w:r w:rsidRPr="00382D91">
        <w:rPr>
          <w:rFonts w:ascii="Times New Roman" w:hAnsi="Times New Roman" w:cs="Times New Roman"/>
          <w:b/>
          <w:bCs/>
          <w:sz w:val="24"/>
          <w:szCs w:val="24"/>
        </w:rPr>
        <w:t>Identification professionnelle </w:t>
      </w:r>
      <w:r w:rsidRPr="00382D91">
        <w:rPr>
          <w:rFonts w:ascii="Times New Roman" w:hAnsi="Times New Roman" w:cs="Times New Roman"/>
          <w:sz w:val="24"/>
          <w:szCs w:val="24"/>
        </w:rPr>
        <w:t xml:space="preserve">: n’utiliser le titre de Docteur que si ce titre est officiel, avec des qualifications reconnues par l’Ordre, et informer celui-ci de toute activité entreprise sur les réseaux sociaux. </w:t>
      </w:r>
    </w:p>
    <w:p w14:paraId="317D2809" w14:textId="334F1B25" w:rsidR="00B05756" w:rsidRPr="00382D91" w:rsidRDefault="00B05756" w:rsidP="00B05756">
      <w:pPr>
        <w:rPr>
          <w:rFonts w:ascii="Times New Roman" w:hAnsi="Times New Roman" w:cs="Times New Roman"/>
          <w:sz w:val="24"/>
          <w:szCs w:val="24"/>
        </w:rPr>
      </w:pPr>
      <w:r w:rsidRPr="00382D91">
        <w:rPr>
          <w:rFonts w:ascii="Times New Roman" w:hAnsi="Times New Roman" w:cs="Times New Roman"/>
          <w:b/>
          <w:bCs/>
          <w:sz w:val="24"/>
          <w:szCs w:val="24"/>
        </w:rPr>
        <w:t>Pratique commerciale</w:t>
      </w:r>
      <w:r w:rsidRPr="00382D91">
        <w:rPr>
          <w:rFonts w:ascii="Times New Roman" w:hAnsi="Times New Roman" w:cs="Times New Roman"/>
          <w:sz w:val="24"/>
          <w:szCs w:val="24"/>
        </w:rPr>
        <w:t> : l’autopromotion de sa propre activité médicale,</w:t>
      </w:r>
      <w:r w:rsidR="00461DE1">
        <w:rPr>
          <w:rFonts w:ascii="Times New Roman" w:hAnsi="Times New Roman" w:cs="Times New Roman"/>
          <w:sz w:val="24"/>
          <w:szCs w:val="24"/>
        </w:rPr>
        <w:t xml:space="preserve"> </w:t>
      </w:r>
      <w:r w:rsidRPr="00382D91">
        <w:rPr>
          <w:rFonts w:ascii="Times New Roman" w:hAnsi="Times New Roman" w:cs="Times New Roman"/>
          <w:sz w:val="24"/>
          <w:szCs w:val="24"/>
        </w:rPr>
        <w:t xml:space="preserve">de tout produit de santé, médicament ou dispositif médical, </w:t>
      </w:r>
      <w:r w:rsidR="00461DE1">
        <w:rPr>
          <w:rFonts w:ascii="Times New Roman" w:hAnsi="Times New Roman" w:cs="Times New Roman"/>
          <w:sz w:val="24"/>
          <w:szCs w:val="24"/>
        </w:rPr>
        <w:t xml:space="preserve">ainsi que </w:t>
      </w:r>
      <w:r w:rsidRPr="00382D91">
        <w:rPr>
          <w:rFonts w:ascii="Times New Roman" w:hAnsi="Times New Roman" w:cs="Times New Roman"/>
          <w:sz w:val="24"/>
          <w:szCs w:val="24"/>
        </w:rPr>
        <w:t>les conseils médicaux personnalisés</w:t>
      </w:r>
      <w:r w:rsidR="00461DE1">
        <w:rPr>
          <w:rFonts w:ascii="Times New Roman" w:hAnsi="Times New Roman" w:cs="Times New Roman"/>
          <w:sz w:val="24"/>
          <w:szCs w:val="24"/>
        </w:rPr>
        <w:t xml:space="preserve"> ou le recours au</w:t>
      </w:r>
      <w:r w:rsidRPr="00382D91">
        <w:rPr>
          <w:rFonts w:ascii="Times New Roman" w:hAnsi="Times New Roman" w:cs="Times New Roman"/>
          <w:sz w:val="24"/>
          <w:szCs w:val="24"/>
        </w:rPr>
        <w:t xml:space="preserve"> référencement payant sont prohibés. Quant aux partenariats, ils doivent être mentionnés dans les contenus. </w:t>
      </w:r>
    </w:p>
    <w:p w14:paraId="2975A3A8" w14:textId="7CD138C6" w:rsidR="00B05756" w:rsidRPr="00382D91" w:rsidRDefault="00B05756" w:rsidP="00B05756">
      <w:pPr>
        <w:rPr>
          <w:rFonts w:ascii="Times New Roman" w:hAnsi="Times New Roman" w:cs="Times New Roman"/>
          <w:sz w:val="24"/>
          <w:szCs w:val="24"/>
        </w:rPr>
      </w:pPr>
      <w:r w:rsidRPr="00382D91">
        <w:rPr>
          <w:rFonts w:ascii="Times New Roman" w:hAnsi="Times New Roman" w:cs="Times New Roman"/>
          <w:b/>
          <w:bCs/>
          <w:sz w:val="24"/>
          <w:szCs w:val="24"/>
        </w:rPr>
        <w:t>Prudence et sérieux des informations</w:t>
      </w:r>
      <w:r w:rsidRPr="00382D91">
        <w:rPr>
          <w:rFonts w:ascii="Times New Roman" w:hAnsi="Times New Roman" w:cs="Times New Roman"/>
          <w:sz w:val="24"/>
          <w:szCs w:val="24"/>
        </w:rPr>
        <w:t xml:space="preserve"> : le contenu doit être daté, avec des sources explicites et mises à jour, et avoir une visée pédagogique ou concernant des thématiques de santé, à destination d’autres praticiens ou du grand public, sans faire la promotion de pratiques non validées scientifiquement. </w:t>
      </w:r>
    </w:p>
    <w:p w14:paraId="597E65B8" w14:textId="0C0952E7" w:rsidR="001D7873" w:rsidRPr="00461DE1" w:rsidRDefault="00A41B44" w:rsidP="00B05756">
      <w:pPr>
        <w:rPr>
          <w:rFonts w:ascii="Times New Roman" w:hAnsi="Times New Roman" w:cs="Times New Roman"/>
          <w:color w:val="0F9ED5" w:themeColor="accent4"/>
          <w:sz w:val="24"/>
          <w:szCs w:val="24"/>
        </w:rPr>
      </w:pPr>
      <w:r w:rsidRPr="00461DE1">
        <w:rPr>
          <w:rFonts w:ascii="Times New Roman" w:hAnsi="Times New Roman" w:cs="Times New Roman"/>
          <w:b/>
          <w:bCs/>
          <w:color w:val="0F9ED5" w:themeColor="accent4"/>
          <w:sz w:val="24"/>
          <w:szCs w:val="24"/>
        </w:rPr>
        <w:t>A lire, le t</w:t>
      </w:r>
      <w:r w:rsidR="00B05756" w:rsidRPr="00461DE1">
        <w:rPr>
          <w:rFonts w:ascii="Times New Roman" w:hAnsi="Times New Roman" w:cs="Times New Roman"/>
          <w:b/>
          <w:bCs/>
          <w:color w:val="0F9ED5" w:themeColor="accent4"/>
          <w:sz w:val="24"/>
          <w:szCs w:val="24"/>
        </w:rPr>
        <w:t>exte intégral de la Charte</w:t>
      </w:r>
      <w:r w:rsidR="00B05756" w:rsidRPr="00461DE1">
        <w:rPr>
          <w:rFonts w:ascii="Times New Roman" w:hAnsi="Times New Roman" w:cs="Times New Roman"/>
          <w:color w:val="0F9ED5" w:themeColor="accent4"/>
          <w:sz w:val="24"/>
          <w:szCs w:val="24"/>
        </w:rPr>
        <w:t xml:space="preserve"> : https://www.conseil </w:t>
      </w:r>
      <w:r w:rsidR="00344AF3" w:rsidRPr="00461DE1">
        <w:rPr>
          <w:rFonts w:ascii="Times New Roman" w:hAnsi="Times New Roman" w:cs="Times New Roman"/>
          <w:color w:val="0F9ED5" w:themeColor="accent4"/>
          <w:sz w:val="24"/>
          <w:szCs w:val="24"/>
        </w:rPr>
        <w:t>-</w:t>
      </w:r>
      <w:r w:rsidR="00B05756" w:rsidRPr="00461DE1">
        <w:rPr>
          <w:rFonts w:ascii="Times New Roman" w:hAnsi="Times New Roman" w:cs="Times New Roman"/>
          <w:color w:val="0F9ED5" w:themeColor="accent4"/>
          <w:sz w:val="24"/>
          <w:szCs w:val="24"/>
        </w:rPr>
        <w:t>national.medecin.fr/publications/actualites/charte-medecin-createur-contenu-responsable</w:t>
      </w:r>
    </w:p>
    <w:p w14:paraId="420923B0" w14:textId="77777777" w:rsidR="00382D91" w:rsidRPr="00382D91" w:rsidRDefault="00382D91" w:rsidP="00B05756">
      <w:pPr>
        <w:rPr>
          <w:rFonts w:ascii="Times New Roman" w:hAnsi="Times New Roman" w:cs="Times New Roman"/>
          <w:sz w:val="24"/>
          <w:szCs w:val="24"/>
        </w:rPr>
      </w:pPr>
    </w:p>
    <w:p w14:paraId="232ACECD" w14:textId="77777777" w:rsidR="00382D91" w:rsidRPr="00382D91" w:rsidRDefault="00382D91" w:rsidP="00382D91">
      <w:pPr>
        <w:rPr>
          <w:rFonts w:ascii="Times New Roman" w:hAnsi="Times New Roman" w:cs="Times New Roman"/>
          <w:b/>
          <w:bCs/>
          <w:sz w:val="24"/>
          <w:szCs w:val="24"/>
        </w:rPr>
      </w:pPr>
      <w:r w:rsidRPr="00382D91">
        <w:rPr>
          <w:rFonts w:ascii="Times New Roman" w:hAnsi="Times New Roman" w:cs="Times New Roman"/>
          <w:b/>
          <w:bCs/>
          <w:sz w:val="24"/>
          <w:szCs w:val="24"/>
        </w:rPr>
        <w:t>VACCINATION, DU NOUVEAU</w:t>
      </w:r>
    </w:p>
    <w:p w14:paraId="3C4C53EF" w14:textId="0FF386C9" w:rsidR="00382D91" w:rsidRPr="00382D91" w:rsidRDefault="00382D91" w:rsidP="00382D91">
      <w:pPr>
        <w:rPr>
          <w:rFonts w:ascii="Times New Roman" w:hAnsi="Times New Roman" w:cs="Times New Roman"/>
          <w:sz w:val="24"/>
          <w:szCs w:val="24"/>
        </w:rPr>
      </w:pPr>
      <w:r w:rsidRPr="00382D91">
        <w:rPr>
          <w:rFonts w:ascii="Times New Roman" w:hAnsi="Times New Roman" w:cs="Times New Roman"/>
          <w:b/>
          <w:bCs/>
          <w:sz w:val="24"/>
          <w:szCs w:val="24"/>
        </w:rPr>
        <w:t>Depuis le 1er janvier 2025,</w:t>
      </w:r>
      <w:r w:rsidRPr="00382D91">
        <w:rPr>
          <w:rFonts w:ascii="Times New Roman" w:hAnsi="Times New Roman" w:cs="Times New Roman"/>
          <w:sz w:val="24"/>
          <w:szCs w:val="24"/>
        </w:rPr>
        <w:t xml:space="preserve"> l’obligation vaccinale des nourrissons contre le méningocoque C, a été remplacée par celle contre les méningocoques ACWY. Il est recommandé de réaliser la première injection à l’âge de 6 mois (vaccin </w:t>
      </w:r>
      <w:proofErr w:type="spellStart"/>
      <w:r w:rsidRPr="00382D91">
        <w:rPr>
          <w:rFonts w:ascii="Times New Roman" w:hAnsi="Times New Roman" w:cs="Times New Roman"/>
          <w:sz w:val="24"/>
          <w:szCs w:val="24"/>
        </w:rPr>
        <w:t>Nimenrix</w:t>
      </w:r>
      <w:proofErr w:type="spellEnd"/>
      <w:r w:rsidRPr="00382D91">
        <w:rPr>
          <w:rFonts w:ascii="Times New Roman" w:hAnsi="Times New Roman" w:cs="Times New Roman"/>
          <w:sz w:val="24"/>
          <w:szCs w:val="24"/>
        </w:rPr>
        <w:t xml:space="preserve">®) et le rappel à l’âge de 12 mois (Vaccin </w:t>
      </w:r>
      <w:proofErr w:type="spellStart"/>
      <w:r w:rsidRPr="00382D91">
        <w:rPr>
          <w:rFonts w:ascii="Times New Roman" w:hAnsi="Times New Roman" w:cs="Times New Roman"/>
          <w:sz w:val="24"/>
          <w:szCs w:val="24"/>
        </w:rPr>
        <w:t>Nimenrix</w:t>
      </w:r>
      <w:proofErr w:type="spellEnd"/>
      <w:r w:rsidRPr="00382D91">
        <w:rPr>
          <w:rFonts w:ascii="Times New Roman" w:hAnsi="Times New Roman" w:cs="Times New Roman"/>
          <w:sz w:val="24"/>
          <w:szCs w:val="24"/>
        </w:rPr>
        <w:t xml:space="preserve">® ou </w:t>
      </w:r>
      <w:proofErr w:type="spellStart"/>
      <w:r w:rsidRPr="00382D91">
        <w:rPr>
          <w:rFonts w:ascii="Times New Roman" w:hAnsi="Times New Roman" w:cs="Times New Roman"/>
          <w:sz w:val="24"/>
          <w:szCs w:val="24"/>
        </w:rPr>
        <w:t>Menquadfi</w:t>
      </w:r>
      <w:proofErr w:type="spellEnd"/>
      <w:r w:rsidRPr="00382D91">
        <w:rPr>
          <w:rFonts w:ascii="Times New Roman" w:hAnsi="Times New Roman" w:cs="Times New Roman"/>
          <w:sz w:val="24"/>
          <w:szCs w:val="24"/>
        </w:rPr>
        <w:t xml:space="preserve">®). La vaccination des adolescents de 11 et 14 ans devient également recommandée. Par ailleurs, la vaccination contre le méningocoque B, jusqu’ici fortement recommandée, devient obligatoire pour les nourrissons. Il est </w:t>
      </w:r>
      <w:r w:rsidR="00461DE1">
        <w:rPr>
          <w:rFonts w:ascii="Times New Roman" w:hAnsi="Times New Roman" w:cs="Times New Roman"/>
          <w:sz w:val="24"/>
          <w:szCs w:val="24"/>
        </w:rPr>
        <w:t>conseill</w:t>
      </w:r>
      <w:r w:rsidRPr="00382D91">
        <w:rPr>
          <w:rFonts w:ascii="Times New Roman" w:hAnsi="Times New Roman" w:cs="Times New Roman"/>
          <w:sz w:val="24"/>
          <w:szCs w:val="24"/>
        </w:rPr>
        <w:t xml:space="preserve">é de réaliser la </w:t>
      </w:r>
      <w:r w:rsidRPr="00382D91">
        <w:rPr>
          <w:rFonts w:ascii="Times New Roman" w:hAnsi="Times New Roman" w:cs="Times New Roman"/>
          <w:sz w:val="24"/>
          <w:szCs w:val="24"/>
        </w:rPr>
        <w:lastRenderedPageBreak/>
        <w:t xml:space="preserve">première injection à l’âge de 3 mois, la deuxième injection à l’âge de 5 mois, et le rappel à l’âge de 12 mois. L’Assurance Maladie rembourse à 65% les vaccins </w:t>
      </w:r>
      <w:proofErr w:type="spellStart"/>
      <w:r w:rsidRPr="00382D91">
        <w:rPr>
          <w:rFonts w:ascii="Times New Roman" w:hAnsi="Times New Roman" w:cs="Times New Roman"/>
          <w:sz w:val="24"/>
          <w:szCs w:val="24"/>
        </w:rPr>
        <w:t>Bexsero</w:t>
      </w:r>
      <w:proofErr w:type="spellEnd"/>
      <w:r w:rsidRPr="00382D91">
        <w:rPr>
          <w:rFonts w:ascii="Times New Roman" w:hAnsi="Times New Roman" w:cs="Times New Roman"/>
          <w:sz w:val="24"/>
          <w:szCs w:val="24"/>
        </w:rPr>
        <w:t xml:space="preserve">® contre les méningocoques de type B et </w:t>
      </w:r>
      <w:proofErr w:type="spellStart"/>
      <w:r w:rsidRPr="00382D91">
        <w:rPr>
          <w:rFonts w:ascii="Times New Roman" w:hAnsi="Times New Roman" w:cs="Times New Roman"/>
          <w:sz w:val="24"/>
          <w:szCs w:val="24"/>
        </w:rPr>
        <w:t>Nimenrix</w:t>
      </w:r>
      <w:proofErr w:type="spellEnd"/>
      <w:r w:rsidRPr="00382D91">
        <w:rPr>
          <w:rFonts w:ascii="Times New Roman" w:hAnsi="Times New Roman" w:cs="Times New Roman"/>
          <w:sz w:val="24"/>
          <w:szCs w:val="24"/>
        </w:rPr>
        <w:t xml:space="preserve">® / </w:t>
      </w:r>
      <w:proofErr w:type="spellStart"/>
      <w:r w:rsidRPr="00382D91">
        <w:rPr>
          <w:rFonts w:ascii="Times New Roman" w:hAnsi="Times New Roman" w:cs="Times New Roman"/>
          <w:sz w:val="24"/>
          <w:szCs w:val="24"/>
        </w:rPr>
        <w:t>Menquadfi</w:t>
      </w:r>
      <w:proofErr w:type="spellEnd"/>
      <w:r w:rsidRPr="00382D91">
        <w:rPr>
          <w:rFonts w:ascii="Times New Roman" w:hAnsi="Times New Roman" w:cs="Times New Roman"/>
          <w:sz w:val="24"/>
          <w:szCs w:val="24"/>
        </w:rPr>
        <w:t xml:space="preserve">® contre les méningocoques de type ACWY.  </w:t>
      </w:r>
    </w:p>
    <w:p w14:paraId="58D782B2" w14:textId="3249B264" w:rsidR="000A4D10" w:rsidRPr="00461DE1" w:rsidRDefault="00382D91" w:rsidP="0091746A">
      <w:pPr>
        <w:rPr>
          <w:rFonts w:ascii="Times New Roman" w:hAnsi="Times New Roman" w:cs="Times New Roman"/>
          <w:b/>
          <w:bCs/>
          <w:sz w:val="24"/>
          <w:szCs w:val="24"/>
        </w:rPr>
      </w:pPr>
      <w:r w:rsidRPr="00382D91">
        <w:rPr>
          <w:rFonts w:ascii="Times New Roman" w:hAnsi="Times New Roman" w:cs="Times New Roman"/>
          <w:b/>
          <w:bCs/>
          <w:sz w:val="24"/>
          <w:szCs w:val="24"/>
        </w:rPr>
        <w:t xml:space="preserve">Dr Georges </w:t>
      </w:r>
      <w:proofErr w:type="spellStart"/>
      <w:r w:rsidRPr="00382D91">
        <w:rPr>
          <w:rFonts w:ascii="Times New Roman" w:hAnsi="Times New Roman" w:cs="Times New Roman"/>
          <w:b/>
          <w:bCs/>
          <w:sz w:val="24"/>
          <w:szCs w:val="24"/>
        </w:rPr>
        <w:t>Hobeika</w:t>
      </w:r>
      <w:proofErr w:type="spellEnd"/>
    </w:p>
    <w:sectPr w:rsidR="000A4D10" w:rsidRPr="00461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B03"/>
    <w:multiLevelType w:val="hybridMultilevel"/>
    <w:tmpl w:val="7EB433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E2A2DDA"/>
    <w:multiLevelType w:val="hybridMultilevel"/>
    <w:tmpl w:val="0A407D40"/>
    <w:lvl w:ilvl="0" w:tplc="39BEBE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4196657"/>
    <w:multiLevelType w:val="hybridMultilevel"/>
    <w:tmpl w:val="7108D888"/>
    <w:lvl w:ilvl="0" w:tplc="10ACF5F6">
      <w:start w:val="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1214875">
    <w:abstractNumId w:val="1"/>
  </w:num>
  <w:num w:numId="2" w16cid:durableId="1829978483">
    <w:abstractNumId w:val="2"/>
  </w:num>
  <w:num w:numId="3" w16cid:durableId="48209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10"/>
    <w:rsid w:val="00003C26"/>
    <w:rsid w:val="00025331"/>
    <w:rsid w:val="000A4D10"/>
    <w:rsid w:val="000B3592"/>
    <w:rsid w:val="000F2191"/>
    <w:rsid w:val="00110ED7"/>
    <w:rsid w:val="00183EF9"/>
    <w:rsid w:val="001D7873"/>
    <w:rsid w:val="00254669"/>
    <w:rsid w:val="002E682A"/>
    <w:rsid w:val="002F23BA"/>
    <w:rsid w:val="003353D4"/>
    <w:rsid w:val="0034019C"/>
    <w:rsid w:val="00344AF3"/>
    <w:rsid w:val="00382D91"/>
    <w:rsid w:val="003B6EB8"/>
    <w:rsid w:val="003C7590"/>
    <w:rsid w:val="003E50FB"/>
    <w:rsid w:val="003E7080"/>
    <w:rsid w:val="00454D2D"/>
    <w:rsid w:val="00461DE1"/>
    <w:rsid w:val="00465A96"/>
    <w:rsid w:val="004A4A11"/>
    <w:rsid w:val="005064DA"/>
    <w:rsid w:val="00543765"/>
    <w:rsid w:val="00544FF9"/>
    <w:rsid w:val="00555313"/>
    <w:rsid w:val="00556703"/>
    <w:rsid w:val="005E7506"/>
    <w:rsid w:val="006203D4"/>
    <w:rsid w:val="00667A91"/>
    <w:rsid w:val="006A0DAB"/>
    <w:rsid w:val="006C7961"/>
    <w:rsid w:val="006D3872"/>
    <w:rsid w:val="006F0B73"/>
    <w:rsid w:val="00701C42"/>
    <w:rsid w:val="0080786D"/>
    <w:rsid w:val="00821FF0"/>
    <w:rsid w:val="0083361B"/>
    <w:rsid w:val="00843C05"/>
    <w:rsid w:val="00867024"/>
    <w:rsid w:val="008A6117"/>
    <w:rsid w:val="0091746A"/>
    <w:rsid w:val="009D72DF"/>
    <w:rsid w:val="00A04B0C"/>
    <w:rsid w:val="00A0559C"/>
    <w:rsid w:val="00A12BBA"/>
    <w:rsid w:val="00A41B44"/>
    <w:rsid w:val="00A94EB8"/>
    <w:rsid w:val="00B05756"/>
    <w:rsid w:val="00B629F3"/>
    <w:rsid w:val="00BA5A54"/>
    <w:rsid w:val="00BD32CB"/>
    <w:rsid w:val="00BD7DDA"/>
    <w:rsid w:val="00C0324F"/>
    <w:rsid w:val="00C13031"/>
    <w:rsid w:val="00C15E81"/>
    <w:rsid w:val="00C721CE"/>
    <w:rsid w:val="00C744D7"/>
    <w:rsid w:val="00CD0022"/>
    <w:rsid w:val="00D31139"/>
    <w:rsid w:val="00D7265B"/>
    <w:rsid w:val="00D82500"/>
    <w:rsid w:val="00DD216A"/>
    <w:rsid w:val="00DE2930"/>
    <w:rsid w:val="00E12AA5"/>
    <w:rsid w:val="00E26F43"/>
    <w:rsid w:val="00E4340D"/>
    <w:rsid w:val="00E706B8"/>
    <w:rsid w:val="00EB66CA"/>
    <w:rsid w:val="00EE0A67"/>
    <w:rsid w:val="00F534FD"/>
    <w:rsid w:val="00F906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6227"/>
  <w15:chartTrackingRefBased/>
  <w15:docId w15:val="{30510A08-B5B4-46C9-B5E5-9B1504B8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10"/>
  </w:style>
  <w:style w:type="paragraph" w:styleId="Titre1">
    <w:name w:val="heading 1"/>
    <w:basedOn w:val="Normal"/>
    <w:next w:val="Normal"/>
    <w:link w:val="Titre1Car"/>
    <w:uiPriority w:val="9"/>
    <w:qFormat/>
    <w:rsid w:val="000A4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4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4D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4D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4D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4D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4D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4D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4D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4D1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4D1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4D1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4D1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4D1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4D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4D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4D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4D10"/>
    <w:rPr>
      <w:rFonts w:eastAsiaTheme="majorEastAsia" w:cstheme="majorBidi"/>
      <w:color w:val="272727" w:themeColor="text1" w:themeTint="D8"/>
    </w:rPr>
  </w:style>
  <w:style w:type="paragraph" w:styleId="Titre">
    <w:name w:val="Title"/>
    <w:basedOn w:val="Normal"/>
    <w:next w:val="Normal"/>
    <w:link w:val="TitreCar"/>
    <w:uiPriority w:val="10"/>
    <w:qFormat/>
    <w:rsid w:val="000A4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4D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4D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4D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4D10"/>
    <w:pPr>
      <w:spacing w:before="160"/>
      <w:jc w:val="center"/>
    </w:pPr>
    <w:rPr>
      <w:i/>
      <w:iCs/>
      <w:color w:val="404040" w:themeColor="text1" w:themeTint="BF"/>
    </w:rPr>
  </w:style>
  <w:style w:type="character" w:customStyle="1" w:styleId="CitationCar">
    <w:name w:val="Citation Car"/>
    <w:basedOn w:val="Policepardfaut"/>
    <w:link w:val="Citation"/>
    <w:uiPriority w:val="29"/>
    <w:rsid w:val="000A4D10"/>
    <w:rPr>
      <w:i/>
      <w:iCs/>
      <w:color w:val="404040" w:themeColor="text1" w:themeTint="BF"/>
    </w:rPr>
  </w:style>
  <w:style w:type="paragraph" w:styleId="Paragraphedeliste">
    <w:name w:val="List Paragraph"/>
    <w:basedOn w:val="Normal"/>
    <w:uiPriority w:val="34"/>
    <w:qFormat/>
    <w:rsid w:val="000A4D10"/>
    <w:pPr>
      <w:ind w:left="720"/>
      <w:contextualSpacing/>
    </w:pPr>
  </w:style>
  <w:style w:type="character" w:styleId="Accentuationintense">
    <w:name w:val="Intense Emphasis"/>
    <w:basedOn w:val="Policepardfaut"/>
    <w:uiPriority w:val="21"/>
    <w:qFormat/>
    <w:rsid w:val="000A4D10"/>
    <w:rPr>
      <w:i/>
      <w:iCs/>
      <w:color w:val="0F4761" w:themeColor="accent1" w:themeShade="BF"/>
    </w:rPr>
  </w:style>
  <w:style w:type="paragraph" w:styleId="Citationintense">
    <w:name w:val="Intense Quote"/>
    <w:basedOn w:val="Normal"/>
    <w:next w:val="Normal"/>
    <w:link w:val="CitationintenseCar"/>
    <w:uiPriority w:val="30"/>
    <w:qFormat/>
    <w:rsid w:val="000A4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4D10"/>
    <w:rPr>
      <w:i/>
      <w:iCs/>
      <w:color w:val="0F4761" w:themeColor="accent1" w:themeShade="BF"/>
    </w:rPr>
  </w:style>
  <w:style w:type="character" w:styleId="Rfrenceintense">
    <w:name w:val="Intense Reference"/>
    <w:basedOn w:val="Policepardfaut"/>
    <w:uiPriority w:val="32"/>
    <w:qFormat/>
    <w:rsid w:val="000A4D10"/>
    <w:rPr>
      <w:b/>
      <w:bCs/>
      <w:smallCaps/>
      <w:color w:val="0F4761" w:themeColor="accent1" w:themeShade="BF"/>
      <w:spacing w:val="5"/>
    </w:rPr>
  </w:style>
  <w:style w:type="character" w:styleId="Lienhypertexte">
    <w:name w:val="Hyperlink"/>
    <w:basedOn w:val="Policepardfaut"/>
    <w:uiPriority w:val="99"/>
    <w:unhideWhenUsed/>
    <w:rsid w:val="000A4D10"/>
    <w:rPr>
      <w:color w:val="467886" w:themeColor="hyperlink"/>
      <w:u w:val="single"/>
    </w:rPr>
  </w:style>
  <w:style w:type="character" w:styleId="Mentionnonrsolue">
    <w:name w:val="Unresolved Mention"/>
    <w:basedOn w:val="Policepardfaut"/>
    <w:uiPriority w:val="99"/>
    <w:semiHidden/>
    <w:unhideWhenUsed/>
    <w:rsid w:val="0034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130807">
      <w:bodyDiv w:val="1"/>
      <w:marLeft w:val="0"/>
      <w:marRight w:val="0"/>
      <w:marTop w:val="0"/>
      <w:marBottom w:val="0"/>
      <w:divBdr>
        <w:top w:val="none" w:sz="0" w:space="0" w:color="auto"/>
        <w:left w:val="none" w:sz="0" w:space="0" w:color="auto"/>
        <w:bottom w:val="none" w:sz="0" w:space="0" w:color="auto"/>
        <w:right w:val="none" w:sz="0" w:space="0" w:color="auto"/>
      </w:divBdr>
    </w:div>
    <w:div w:id="1275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crafs.com/" TargetMode="External"/><Relationship Id="rId5" Type="http://schemas.openxmlformats.org/officeDocument/2006/relationships/hyperlink" Target="https://arretonslesviolences.gouv.fr/je-suis-professionnel/les-ecrits-professionnel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8334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2025-02-17T14:41:00Z</dcterms:created>
  <dcterms:modified xsi:type="dcterms:W3CDTF">2025-02-17T14:41:00Z</dcterms:modified>
</cp:coreProperties>
</file>