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3E728" w14:textId="77777777" w:rsidR="00BB4D79" w:rsidRPr="00C03DEC" w:rsidRDefault="00BB4D79" w:rsidP="00BB4D79">
      <w:pPr>
        <w:rPr>
          <w:rFonts w:ascii="Times New Roman" w:hAnsi="Times New Roman" w:cs="Times New Roman"/>
          <w:sz w:val="24"/>
          <w:szCs w:val="24"/>
        </w:rPr>
      </w:pPr>
      <w:r w:rsidRPr="00C03DEC">
        <w:rPr>
          <w:rFonts w:ascii="Times New Roman" w:hAnsi="Times New Roman" w:cs="Times New Roman"/>
          <w:sz w:val="24"/>
          <w:szCs w:val="24"/>
        </w:rPr>
        <w:t xml:space="preserve">Mai 2022 </w:t>
      </w:r>
      <w:r w:rsidRPr="00C03DEC">
        <w:rPr>
          <w:rFonts w:ascii="Times New Roman" w:hAnsi="Times New Roman" w:cs="Times New Roman"/>
          <w:color w:val="1F3864" w:themeColor="accent1" w:themeShade="80"/>
          <w:sz w:val="24"/>
          <w:szCs w:val="24"/>
        </w:rPr>
        <w:t xml:space="preserve">- </w:t>
      </w:r>
      <w:r w:rsidRPr="00C03DEC">
        <w:rPr>
          <w:rFonts w:ascii="Times New Roman" w:hAnsi="Times New Roman" w:cs="Times New Roman"/>
          <w:b/>
          <w:bCs/>
          <w:color w:val="1F3864" w:themeColor="accent1" w:themeShade="80"/>
          <w:sz w:val="24"/>
          <w:szCs w:val="24"/>
        </w:rPr>
        <w:t xml:space="preserve">La Newsletter du Conseil Départemental du Val d'Oise de l'Ordre des médecins </w:t>
      </w:r>
    </w:p>
    <w:p w14:paraId="1307C4DF" w14:textId="129DB0EE" w:rsidR="00BB4D79" w:rsidRPr="00C03DEC" w:rsidRDefault="00BB4D79" w:rsidP="00BB4D79">
      <w:pPr>
        <w:rPr>
          <w:rFonts w:ascii="Times New Roman" w:hAnsi="Times New Roman" w:cs="Times New Roman"/>
          <w:b/>
          <w:bCs/>
          <w:sz w:val="24"/>
          <w:szCs w:val="24"/>
        </w:rPr>
      </w:pPr>
      <w:r w:rsidRPr="00C03DEC">
        <w:rPr>
          <w:rFonts w:ascii="Times New Roman" w:hAnsi="Times New Roman" w:cs="Times New Roman"/>
          <w:b/>
          <w:bCs/>
          <w:sz w:val="24"/>
          <w:szCs w:val="24"/>
        </w:rPr>
        <w:t xml:space="preserve">L'ACTU </w:t>
      </w:r>
    </w:p>
    <w:p w14:paraId="2C186299" w14:textId="77777777" w:rsidR="00BB4D79" w:rsidRPr="00C03DEC" w:rsidRDefault="00BB4D79" w:rsidP="00BB4D79">
      <w:pPr>
        <w:rPr>
          <w:rFonts w:ascii="Times New Roman" w:hAnsi="Times New Roman" w:cs="Times New Roman"/>
          <w:b/>
          <w:bCs/>
          <w:sz w:val="24"/>
          <w:szCs w:val="24"/>
        </w:rPr>
      </w:pPr>
      <w:r w:rsidRPr="00C03DEC">
        <w:rPr>
          <w:rFonts w:ascii="Times New Roman" w:hAnsi="Times New Roman" w:cs="Times New Roman"/>
          <w:b/>
          <w:bCs/>
          <w:sz w:val="24"/>
          <w:szCs w:val="24"/>
        </w:rPr>
        <w:t xml:space="preserve">3 questions à …  Bruno Philippe, pneumologue, chef de Pôle au centre hospitalier de Pontoise, responsable de la MPSAT de formation en Education Thérapeutique. </w:t>
      </w:r>
    </w:p>
    <w:p w14:paraId="3E8B5B47" w14:textId="77777777" w:rsidR="00BB4D79" w:rsidRPr="00C03DEC" w:rsidRDefault="00BB4D79" w:rsidP="00BB4D79">
      <w:pPr>
        <w:pStyle w:val="Paragraphedeliste"/>
        <w:numPr>
          <w:ilvl w:val="0"/>
          <w:numId w:val="1"/>
        </w:numPr>
        <w:rPr>
          <w:rFonts w:ascii="Times New Roman" w:hAnsi="Times New Roman" w:cs="Times New Roman"/>
          <w:b/>
          <w:bCs/>
        </w:rPr>
      </w:pPr>
      <w:r w:rsidRPr="00C03DEC">
        <w:rPr>
          <w:rFonts w:ascii="Times New Roman" w:hAnsi="Times New Roman" w:cs="Times New Roman"/>
          <w:b/>
          <w:bCs/>
        </w:rPr>
        <w:t xml:space="preserve">En quoi consiste l’éducation thérapeutique du patient ? </w:t>
      </w:r>
    </w:p>
    <w:p w14:paraId="03398884" w14:textId="77777777" w:rsidR="00BB4D79" w:rsidRPr="00C03DEC" w:rsidRDefault="00BB4D79" w:rsidP="00BB4D79">
      <w:pPr>
        <w:rPr>
          <w:rFonts w:ascii="Times New Roman" w:hAnsi="Times New Roman" w:cs="Times New Roman"/>
          <w:sz w:val="24"/>
          <w:szCs w:val="24"/>
        </w:rPr>
      </w:pPr>
      <w:r w:rsidRPr="00C03DEC">
        <w:rPr>
          <w:rFonts w:ascii="Times New Roman" w:hAnsi="Times New Roman" w:cs="Times New Roman"/>
          <w:sz w:val="24"/>
          <w:szCs w:val="24"/>
        </w:rPr>
        <w:t>L’ETP consiste à recenser les compétences du patient vis-à-vis de sa maladie pour le rendre le plus autonome possible sur le plan médical, social et psychologique. Cette approche développée initialement en diabétologie, est devenue incontournable pour de nombreuses pathologies chroniques en pneumologie, en santé mentale, en rhumatologie, en neurologie. Elle repose sur le constat que les médicaments n’offrent qu’une partie de la réponse thérapeutique. Face à des maladies lourdes à vivre, la démarche de soins doit aussi prendre en compte l’environnement social, l’entourage, les personnes ressources, et offrir un espace d’écoute où le patient peut s’exprimer, prendre son temps.</w:t>
      </w:r>
    </w:p>
    <w:p w14:paraId="5136DBA3" w14:textId="77777777" w:rsidR="00BB4D79" w:rsidRPr="00C03DEC" w:rsidRDefault="00BB4D79" w:rsidP="00BB4D79">
      <w:pPr>
        <w:pStyle w:val="Paragraphedeliste"/>
        <w:numPr>
          <w:ilvl w:val="0"/>
          <w:numId w:val="1"/>
        </w:numPr>
        <w:rPr>
          <w:rFonts w:ascii="Times New Roman" w:hAnsi="Times New Roman" w:cs="Times New Roman"/>
          <w:b/>
          <w:bCs/>
        </w:rPr>
      </w:pPr>
      <w:r w:rsidRPr="00C03DEC">
        <w:rPr>
          <w:rFonts w:ascii="Times New Roman" w:hAnsi="Times New Roman" w:cs="Times New Roman"/>
          <w:b/>
          <w:bCs/>
        </w:rPr>
        <w:t xml:space="preserve">Qu’est-ce qu’implique cette démarche pour le praticien de santé ? </w:t>
      </w:r>
    </w:p>
    <w:p w14:paraId="4094D216" w14:textId="04EA0D80" w:rsidR="00BB4D79" w:rsidRPr="00C03DEC" w:rsidRDefault="00BB4D79" w:rsidP="00BB4D79">
      <w:pPr>
        <w:rPr>
          <w:rFonts w:ascii="Times New Roman" w:hAnsi="Times New Roman" w:cs="Times New Roman"/>
          <w:sz w:val="24"/>
          <w:szCs w:val="24"/>
        </w:rPr>
      </w:pPr>
      <w:r w:rsidRPr="00C03DEC">
        <w:rPr>
          <w:rFonts w:ascii="Times New Roman" w:hAnsi="Times New Roman" w:cs="Times New Roman"/>
          <w:sz w:val="24"/>
          <w:szCs w:val="24"/>
        </w:rPr>
        <w:t xml:space="preserve">Dans l’acronyme ETP, le P désigne autant le patient que le praticien ; les deux parties apprennent en effet l’une de l’autre, dans un échange gagnant-gagnant. Parmi les soignants, les médecins sont les derniers que j’arrive à convaincre. L’ETP les bouscule. J’observe que beaucoup </w:t>
      </w:r>
      <w:r w:rsidR="00565638">
        <w:rPr>
          <w:rFonts w:ascii="Times New Roman" w:hAnsi="Times New Roman" w:cs="Times New Roman"/>
          <w:sz w:val="24"/>
          <w:szCs w:val="24"/>
        </w:rPr>
        <w:t>ont du mal</w:t>
      </w:r>
      <w:r w:rsidRPr="00C03DEC">
        <w:rPr>
          <w:rFonts w:ascii="Times New Roman" w:hAnsi="Times New Roman" w:cs="Times New Roman"/>
          <w:sz w:val="24"/>
          <w:szCs w:val="24"/>
        </w:rPr>
        <w:t xml:space="preserve"> à remettre en question leurs pratiques. A prendre le temps nécessaire pour glaner les informations qui modifieront des certitudes, des prescriptions inadaptées. Ce que préconise l’ETP, c’est de passer de la prise en charge à la prise en compte : un glissement de sens et de posture aussi enrichissant que bénéfique pour tous.  </w:t>
      </w:r>
    </w:p>
    <w:p w14:paraId="3E76A16B" w14:textId="77777777" w:rsidR="00BB4D79" w:rsidRPr="00C03DEC" w:rsidRDefault="00BB4D79" w:rsidP="00BB4D79">
      <w:pPr>
        <w:pStyle w:val="Paragraphedeliste"/>
        <w:numPr>
          <w:ilvl w:val="0"/>
          <w:numId w:val="1"/>
        </w:numPr>
        <w:rPr>
          <w:rFonts w:ascii="Times New Roman" w:hAnsi="Times New Roman" w:cs="Times New Roman"/>
          <w:b/>
          <w:bCs/>
        </w:rPr>
      </w:pPr>
      <w:r w:rsidRPr="00C03DEC">
        <w:rPr>
          <w:rFonts w:ascii="Times New Roman" w:hAnsi="Times New Roman" w:cs="Times New Roman"/>
          <w:b/>
          <w:bCs/>
        </w:rPr>
        <w:t xml:space="preserve">Cette approche qui semble avoir le vent en poupe est-elle soutenue par les pouvoirs publics ? </w:t>
      </w:r>
    </w:p>
    <w:p w14:paraId="16097FF6" w14:textId="35E88173" w:rsidR="00BB4D79" w:rsidRDefault="00BB4D79" w:rsidP="00BB4D79">
      <w:pPr>
        <w:rPr>
          <w:rFonts w:ascii="Times New Roman" w:hAnsi="Times New Roman" w:cs="Times New Roman"/>
          <w:sz w:val="24"/>
          <w:szCs w:val="24"/>
        </w:rPr>
      </w:pPr>
      <w:r w:rsidRPr="00C03DEC">
        <w:rPr>
          <w:rFonts w:ascii="Times New Roman" w:hAnsi="Times New Roman" w:cs="Times New Roman"/>
          <w:sz w:val="24"/>
          <w:szCs w:val="24"/>
        </w:rPr>
        <w:t>Ce n’est pas mon impression. Je n’ai bénéficié pour ​l'instant que d'un budget d'amorçage accordé par l'ARS Ile de France pour lancer l’an dernier une MPSAT (Maison de Prévention en santé et d’accompagnement thérapeutique) et développer l’usage de l’éducation thérapeutique. Néanmoins cela ne permet pas d'avoir la visibilité à moyen et long terme nécessaire pour convaincre et continuer de motiver les patients demandeurs et les acteurs de santé impliqués dans le programme. Avec une assise juridique hospitalière, cette structure met en place des ateliers de formation hors les murs, en collaboration avec les praticiens en ville. Nous sommes en phase de démarrage, avec deux à trois ateliers par mois, et réunissons une trentaine de personnels de santé, pour moitié libéraux et moitié hospitaliers. L'animation d'ateliers d'ETP nécessite une formation de 40H ​qui dépasse le cadre de la DPC : trouver les fonds pour permettre à tous les médecins libéraux qui le souhaitent d’en bénéficier est donc notre mission la plus urgente.</w:t>
      </w:r>
    </w:p>
    <w:p w14:paraId="33BAF29E" w14:textId="77777777" w:rsidR="00C03DEC" w:rsidRPr="00C03DEC" w:rsidRDefault="00C03DEC" w:rsidP="00BB4D79">
      <w:pPr>
        <w:rPr>
          <w:rFonts w:ascii="Times New Roman" w:hAnsi="Times New Roman" w:cs="Times New Roman"/>
          <w:sz w:val="24"/>
          <w:szCs w:val="24"/>
        </w:rPr>
      </w:pPr>
    </w:p>
    <w:p w14:paraId="44839A73" w14:textId="77777777" w:rsidR="00BB4D79" w:rsidRPr="00C03DEC" w:rsidRDefault="00BB4D79" w:rsidP="00BB4D79">
      <w:pPr>
        <w:jc w:val="both"/>
        <w:rPr>
          <w:rFonts w:ascii="Times New Roman" w:hAnsi="Times New Roman" w:cs="Times New Roman"/>
          <w:b/>
          <w:bCs/>
          <w:sz w:val="24"/>
          <w:szCs w:val="24"/>
        </w:rPr>
      </w:pPr>
      <w:r w:rsidRPr="00C03DEC">
        <w:rPr>
          <w:rFonts w:ascii="Times New Roman" w:hAnsi="Times New Roman" w:cs="Times New Roman"/>
          <w:b/>
          <w:bCs/>
          <w:sz w:val="24"/>
          <w:szCs w:val="24"/>
        </w:rPr>
        <w:t xml:space="preserve">AFFAIRES DISCIPLINAIRES  </w:t>
      </w:r>
    </w:p>
    <w:p w14:paraId="07C90A51" w14:textId="77777777" w:rsidR="00BB4D79" w:rsidRPr="00C03DEC" w:rsidRDefault="00BB4D79" w:rsidP="00BB4D79">
      <w:pPr>
        <w:jc w:val="both"/>
        <w:rPr>
          <w:rFonts w:ascii="Times New Roman" w:hAnsi="Times New Roman" w:cs="Times New Roman"/>
          <w:b/>
          <w:bCs/>
          <w:sz w:val="24"/>
          <w:szCs w:val="24"/>
        </w:rPr>
      </w:pPr>
      <w:r w:rsidRPr="00C03DEC">
        <w:rPr>
          <w:rFonts w:ascii="Times New Roman" w:hAnsi="Times New Roman" w:cs="Times New Roman"/>
          <w:b/>
          <w:bCs/>
          <w:sz w:val="24"/>
          <w:szCs w:val="24"/>
        </w:rPr>
        <w:t>Description d’un cas d’école</w:t>
      </w:r>
    </w:p>
    <w:p w14:paraId="469D856A" w14:textId="77777777" w:rsidR="00BB4D79" w:rsidRPr="00C03DEC" w:rsidRDefault="00BB4D79" w:rsidP="00BB4D79">
      <w:pPr>
        <w:jc w:val="both"/>
        <w:rPr>
          <w:rFonts w:ascii="Times New Roman" w:hAnsi="Times New Roman" w:cs="Times New Roman"/>
          <w:b/>
          <w:sz w:val="24"/>
          <w:szCs w:val="24"/>
        </w:rPr>
      </w:pPr>
      <w:r w:rsidRPr="00C03DEC">
        <w:rPr>
          <w:rFonts w:ascii="Times New Roman" w:hAnsi="Times New Roman" w:cs="Times New Roman"/>
          <w:b/>
          <w:sz w:val="24"/>
          <w:szCs w:val="24"/>
        </w:rPr>
        <w:t xml:space="preserve">Courrier tendancieux et secret médical non partagé entre médecin soignant et médecin du travail </w:t>
      </w:r>
    </w:p>
    <w:p w14:paraId="241411FF" w14:textId="77777777" w:rsidR="00BB4D79" w:rsidRPr="00C03DEC" w:rsidRDefault="00BB4D79" w:rsidP="00BB4D79">
      <w:pPr>
        <w:jc w:val="both"/>
        <w:rPr>
          <w:rFonts w:ascii="Times New Roman" w:hAnsi="Times New Roman" w:cs="Times New Roman"/>
          <w:sz w:val="24"/>
          <w:szCs w:val="24"/>
        </w:rPr>
      </w:pPr>
      <w:r w:rsidRPr="00C03DEC">
        <w:rPr>
          <w:rFonts w:ascii="Times New Roman" w:hAnsi="Times New Roman" w:cs="Times New Roman"/>
          <w:sz w:val="24"/>
          <w:szCs w:val="24"/>
        </w:rPr>
        <w:lastRenderedPageBreak/>
        <w:t xml:space="preserve">Un psychiatre adresse un courrier au médecin du travail d’un de ses patients, notant : </w:t>
      </w:r>
      <w:r w:rsidRPr="00C03DEC">
        <w:rPr>
          <w:rFonts w:ascii="Times New Roman" w:hAnsi="Times New Roman" w:cs="Times New Roman"/>
          <w:i/>
          <w:sz w:val="24"/>
          <w:szCs w:val="24"/>
        </w:rPr>
        <w:t>« …Ses patrons cherchent à se débarrasser de lui mais sans rien lui donner et cherchent à monter une faute professionnelle contre lui… »</w:t>
      </w:r>
      <w:r w:rsidRPr="00C03DEC">
        <w:rPr>
          <w:rFonts w:ascii="Times New Roman" w:hAnsi="Times New Roman" w:cs="Times New Roman"/>
          <w:sz w:val="24"/>
          <w:szCs w:val="24"/>
        </w:rPr>
        <w:t xml:space="preserve"> Le patient produit ce courrier lors d’une procédure prud’hommale. L’employeur a porté plainte.</w:t>
      </w:r>
    </w:p>
    <w:p w14:paraId="310318FD" w14:textId="77777777" w:rsidR="00BB4D79" w:rsidRPr="00C03DEC" w:rsidRDefault="00BB4D79" w:rsidP="00BB4D79">
      <w:pPr>
        <w:jc w:val="both"/>
        <w:rPr>
          <w:rFonts w:ascii="Times New Roman" w:hAnsi="Times New Roman" w:cs="Times New Roman"/>
          <w:b/>
          <w:bCs/>
          <w:sz w:val="24"/>
          <w:szCs w:val="24"/>
        </w:rPr>
      </w:pPr>
      <w:r w:rsidRPr="00C03DEC">
        <w:rPr>
          <w:rFonts w:ascii="Times New Roman" w:hAnsi="Times New Roman" w:cs="Times New Roman"/>
          <w:b/>
          <w:bCs/>
          <w:sz w:val="24"/>
          <w:szCs w:val="24"/>
        </w:rPr>
        <w:t>Le litige :</w:t>
      </w:r>
    </w:p>
    <w:p w14:paraId="5EE261F9" w14:textId="77777777" w:rsidR="00BB4D79" w:rsidRPr="00C03DEC" w:rsidRDefault="00BB4D79" w:rsidP="00BB4D79">
      <w:pPr>
        <w:jc w:val="both"/>
        <w:rPr>
          <w:rFonts w:ascii="Times New Roman" w:hAnsi="Times New Roman" w:cs="Times New Roman"/>
          <w:iCs/>
          <w:sz w:val="24"/>
          <w:szCs w:val="24"/>
        </w:rPr>
      </w:pPr>
      <w:r w:rsidRPr="00C03DEC">
        <w:rPr>
          <w:rFonts w:ascii="Times New Roman" w:hAnsi="Times New Roman" w:cs="Times New Roman"/>
          <w:sz w:val="24"/>
          <w:szCs w:val="24"/>
        </w:rPr>
        <w:t>« </w:t>
      </w:r>
      <w:r w:rsidRPr="00C03DEC">
        <w:rPr>
          <w:rFonts w:ascii="Times New Roman" w:hAnsi="Times New Roman" w:cs="Times New Roman"/>
          <w:i/>
          <w:sz w:val="24"/>
          <w:szCs w:val="24"/>
        </w:rPr>
        <w:t>La délivrance d’un rapport tendancieux ou d’un certificat de complaisance est interdit </w:t>
      </w:r>
      <w:r w:rsidRPr="00C03DEC">
        <w:rPr>
          <w:rFonts w:ascii="Times New Roman" w:hAnsi="Times New Roman" w:cs="Times New Roman"/>
          <w:iCs/>
          <w:sz w:val="24"/>
          <w:szCs w:val="24"/>
        </w:rPr>
        <w:t xml:space="preserve">» (Article R4127-28 du CDM). Or le médecin a clairement pris parti dans le conflit qui oppose le patient à son employeur. Les courriers entre médecins sont tenus de se limiter à la description de l’état clinique du patient et éventuellement à la mention des traitements prescrits. </w:t>
      </w:r>
    </w:p>
    <w:p w14:paraId="2DD572E9" w14:textId="77777777" w:rsidR="00BB4D79" w:rsidRPr="00C03DEC" w:rsidRDefault="00BB4D79" w:rsidP="00BB4D79">
      <w:pPr>
        <w:jc w:val="both"/>
        <w:rPr>
          <w:rFonts w:ascii="Times New Roman" w:eastAsiaTheme="minorEastAsia" w:hAnsi="Times New Roman" w:cs="Times New Roman"/>
          <w:i/>
          <w:sz w:val="24"/>
          <w:szCs w:val="24"/>
        </w:rPr>
      </w:pPr>
      <w:r w:rsidRPr="00C03DEC">
        <w:rPr>
          <w:rFonts w:ascii="Times New Roman" w:eastAsia="Times New Roman" w:hAnsi="Times New Roman" w:cs="Times New Roman"/>
          <w:sz w:val="24"/>
          <w:szCs w:val="24"/>
          <w:shd w:val="clear" w:color="auto" w:fill="FFFFFF"/>
        </w:rPr>
        <w:t xml:space="preserve"> « </w:t>
      </w:r>
      <w:r w:rsidRPr="00C03DEC">
        <w:rPr>
          <w:rFonts w:ascii="Times New Roman" w:eastAsia="Times New Roman" w:hAnsi="Times New Roman" w:cs="Times New Roman"/>
          <w:i/>
          <w:sz w:val="24"/>
          <w:szCs w:val="24"/>
          <w:shd w:val="clear" w:color="auto" w:fill="FFFFFF"/>
        </w:rPr>
        <w:t>Les échanges </w:t>
      </w:r>
      <w:r w:rsidRPr="00C03DEC">
        <w:rPr>
          <w:rFonts w:ascii="Times New Roman" w:eastAsia="Times New Roman" w:hAnsi="Times New Roman" w:cs="Times New Roman"/>
          <w:i/>
          <w:sz w:val="24"/>
          <w:szCs w:val="24"/>
        </w:rPr>
        <w:t>entre médecin du travail</w:t>
      </w:r>
      <w:r w:rsidRPr="00C03DEC">
        <w:rPr>
          <w:rFonts w:ascii="Times New Roman" w:eastAsia="Times New Roman" w:hAnsi="Times New Roman" w:cs="Times New Roman"/>
          <w:i/>
          <w:sz w:val="24"/>
          <w:szCs w:val="24"/>
          <w:shd w:val="clear" w:color="auto" w:fill="FFFFFF"/>
        </w:rPr>
        <w:t> et </w:t>
      </w:r>
      <w:r w:rsidRPr="00C03DEC">
        <w:rPr>
          <w:rFonts w:ascii="Times New Roman" w:eastAsia="Times New Roman" w:hAnsi="Times New Roman" w:cs="Times New Roman"/>
          <w:i/>
          <w:sz w:val="24"/>
          <w:szCs w:val="24"/>
        </w:rPr>
        <w:t>médecin traitant</w:t>
      </w:r>
      <w:r w:rsidRPr="00C03DEC">
        <w:rPr>
          <w:rFonts w:ascii="Times New Roman" w:eastAsia="Times New Roman" w:hAnsi="Times New Roman" w:cs="Times New Roman"/>
          <w:i/>
          <w:sz w:val="24"/>
          <w:szCs w:val="24"/>
          <w:shd w:val="clear" w:color="auto" w:fill="FFFFFF"/>
        </w:rPr>
        <w:t> se font avec l'accord du salarié, dans le respect du </w:t>
      </w:r>
      <w:r w:rsidRPr="00C03DEC">
        <w:rPr>
          <w:rFonts w:ascii="Times New Roman" w:eastAsia="Times New Roman" w:hAnsi="Times New Roman" w:cs="Times New Roman"/>
          <w:i/>
          <w:sz w:val="24"/>
          <w:szCs w:val="24"/>
        </w:rPr>
        <w:t>secret médical</w:t>
      </w:r>
      <w:r w:rsidRPr="00C03DEC">
        <w:rPr>
          <w:rFonts w:ascii="Times New Roman" w:eastAsia="Times New Roman" w:hAnsi="Times New Roman" w:cs="Times New Roman"/>
          <w:i/>
          <w:sz w:val="24"/>
          <w:szCs w:val="24"/>
          <w:shd w:val="clear" w:color="auto" w:fill="FFFFFF"/>
        </w:rPr>
        <w:t> qui est partagé mais non aboli</w:t>
      </w:r>
      <w:r w:rsidRPr="00C03DEC">
        <w:rPr>
          <w:rFonts w:ascii="Times New Roman" w:eastAsia="Times New Roman" w:hAnsi="Times New Roman" w:cs="Times New Roman"/>
          <w:sz w:val="24"/>
          <w:szCs w:val="24"/>
          <w:shd w:val="clear" w:color="auto" w:fill="FFFFFF"/>
        </w:rPr>
        <w:t> » (</w:t>
      </w:r>
      <w:r w:rsidRPr="00C03DEC">
        <w:rPr>
          <w:rFonts w:ascii="Times New Roman" w:hAnsi="Times New Roman" w:cs="Times New Roman"/>
          <w:sz w:val="24"/>
          <w:szCs w:val="24"/>
        </w:rPr>
        <w:t>Article L-1110-4 CSP et R.</w:t>
      </w:r>
      <w:r w:rsidRPr="00C03DEC">
        <w:rPr>
          <w:rFonts w:ascii="Times New Roman" w:eastAsia="Times New Roman" w:hAnsi="Times New Roman" w:cs="Times New Roman"/>
          <w:sz w:val="24"/>
          <w:szCs w:val="24"/>
          <w:shd w:val="clear" w:color="auto" w:fill="FFFFFF"/>
        </w:rPr>
        <w:t>4127-4 du CDM).</w:t>
      </w:r>
      <w:r w:rsidRPr="00C03DEC">
        <w:rPr>
          <w:rFonts w:ascii="Times New Roman" w:eastAsia="Times New Roman" w:hAnsi="Times New Roman" w:cs="Times New Roman"/>
          <w:sz w:val="24"/>
          <w:szCs w:val="24"/>
        </w:rPr>
        <w:t xml:space="preserve"> </w:t>
      </w:r>
      <w:r w:rsidRPr="00C03DEC">
        <w:rPr>
          <w:rFonts w:ascii="Times New Roman" w:eastAsia="Times New Roman" w:hAnsi="Times New Roman" w:cs="Times New Roman"/>
          <w:sz w:val="24"/>
          <w:szCs w:val="24"/>
          <w:shd w:val="clear" w:color="auto" w:fill="FFFFFF"/>
        </w:rPr>
        <w:t>Le médecin a bien respecté l’Article 4 en remettant ledit courrier au patient. Le patient était dans son droit, car il peut utiliser et diffuser à sa guise tout courrier ou certificat médical.</w:t>
      </w:r>
    </w:p>
    <w:p w14:paraId="70A62C3C" w14:textId="77777777" w:rsidR="00BB4D79" w:rsidRPr="00C03DEC" w:rsidRDefault="00BB4D79" w:rsidP="00BB4D79">
      <w:pPr>
        <w:jc w:val="both"/>
        <w:rPr>
          <w:rFonts w:ascii="Times New Roman" w:eastAsia="Times New Roman" w:hAnsi="Times New Roman" w:cs="Times New Roman"/>
          <w:b/>
          <w:bCs/>
          <w:sz w:val="24"/>
          <w:szCs w:val="24"/>
          <w:shd w:val="clear" w:color="auto" w:fill="FFFFFF"/>
        </w:rPr>
      </w:pPr>
      <w:r w:rsidRPr="00C03DEC">
        <w:rPr>
          <w:rFonts w:ascii="Times New Roman" w:eastAsia="Times New Roman" w:hAnsi="Times New Roman" w:cs="Times New Roman"/>
          <w:b/>
          <w:bCs/>
          <w:sz w:val="24"/>
          <w:szCs w:val="24"/>
          <w:shd w:val="clear" w:color="auto" w:fill="FFFFFF"/>
        </w:rPr>
        <w:t xml:space="preserve">Décision de la Chambre Disciplinaire : </w:t>
      </w:r>
    </w:p>
    <w:p w14:paraId="31FBE09A" w14:textId="77777777" w:rsidR="00BB4D79" w:rsidRPr="00C03DEC" w:rsidRDefault="00BB4D79" w:rsidP="00BB4D79">
      <w:pPr>
        <w:jc w:val="both"/>
        <w:rPr>
          <w:rFonts w:ascii="Times New Roman" w:eastAsia="Times New Roman" w:hAnsi="Times New Roman" w:cs="Times New Roman"/>
          <w:sz w:val="24"/>
          <w:szCs w:val="24"/>
          <w:shd w:val="clear" w:color="auto" w:fill="FFFFFF"/>
        </w:rPr>
      </w:pPr>
      <w:r w:rsidRPr="00C03DEC">
        <w:rPr>
          <w:rFonts w:ascii="Times New Roman" w:eastAsia="Times New Roman" w:hAnsi="Times New Roman" w:cs="Times New Roman"/>
          <w:bCs/>
          <w:sz w:val="24"/>
          <w:szCs w:val="24"/>
          <w:shd w:val="clear" w:color="auto" w:fill="FFFFFF"/>
        </w:rPr>
        <w:t xml:space="preserve">Blâme </w:t>
      </w:r>
      <w:r w:rsidRPr="00C03DEC">
        <w:rPr>
          <w:rFonts w:ascii="Times New Roman" w:eastAsia="Times New Roman" w:hAnsi="Times New Roman" w:cs="Times New Roman"/>
          <w:sz w:val="24"/>
          <w:szCs w:val="24"/>
          <w:shd w:val="clear" w:color="auto" w:fill="FFFFFF"/>
        </w:rPr>
        <w:t>pour méconnaissance de l’Article 28, en allant au-delà de la simple description clinique de son patient.</w:t>
      </w:r>
    </w:p>
    <w:p w14:paraId="0327C1CD" w14:textId="2B7DCED3" w:rsidR="00BB4D79" w:rsidRPr="00C03DEC" w:rsidRDefault="00BB4D79" w:rsidP="00BB4D79">
      <w:pPr>
        <w:rPr>
          <w:rFonts w:ascii="Times New Roman" w:hAnsi="Times New Roman" w:cs="Times New Roman"/>
          <w:sz w:val="24"/>
          <w:szCs w:val="24"/>
        </w:rPr>
      </w:pPr>
      <w:r w:rsidRPr="00C03DEC">
        <w:rPr>
          <w:rFonts w:ascii="Times New Roman" w:hAnsi="Times New Roman" w:cs="Times New Roman"/>
          <w:sz w:val="24"/>
          <w:szCs w:val="24"/>
        </w:rPr>
        <w:t xml:space="preserve">Avec le Dr Patricia </w:t>
      </w:r>
      <w:proofErr w:type="spellStart"/>
      <w:r w:rsidRPr="00C03DEC">
        <w:rPr>
          <w:rFonts w:ascii="Times New Roman" w:hAnsi="Times New Roman" w:cs="Times New Roman"/>
          <w:sz w:val="24"/>
          <w:szCs w:val="24"/>
        </w:rPr>
        <w:t>Escobédo</w:t>
      </w:r>
      <w:proofErr w:type="spellEnd"/>
    </w:p>
    <w:p w14:paraId="14743C36" w14:textId="77777777" w:rsidR="00BB4D79" w:rsidRPr="00C03DEC" w:rsidRDefault="00BB4D79" w:rsidP="00BB4D79">
      <w:pPr>
        <w:rPr>
          <w:rFonts w:ascii="Times New Roman" w:hAnsi="Times New Roman" w:cs="Times New Roman"/>
          <w:sz w:val="24"/>
          <w:szCs w:val="24"/>
        </w:rPr>
      </w:pPr>
    </w:p>
    <w:p w14:paraId="3585A0F1" w14:textId="77777777" w:rsidR="00BB4D79" w:rsidRPr="00C03DEC" w:rsidRDefault="00BB4D79" w:rsidP="00BB4D79">
      <w:pPr>
        <w:jc w:val="both"/>
        <w:rPr>
          <w:rFonts w:ascii="Times New Roman" w:hAnsi="Times New Roman" w:cs="Times New Roman"/>
          <w:b/>
          <w:bCs/>
          <w:sz w:val="24"/>
          <w:szCs w:val="24"/>
        </w:rPr>
      </w:pPr>
      <w:r w:rsidRPr="00C03DEC">
        <w:rPr>
          <w:rFonts w:ascii="Times New Roman" w:hAnsi="Times New Roman" w:cs="Times New Roman"/>
          <w:b/>
          <w:bCs/>
          <w:sz w:val="24"/>
          <w:szCs w:val="24"/>
        </w:rPr>
        <w:t xml:space="preserve">CONSEILLERE A LA UNE </w:t>
      </w:r>
    </w:p>
    <w:p w14:paraId="627BFD8A" w14:textId="77777777" w:rsidR="00BB4D79" w:rsidRPr="00C03DEC" w:rsidRDefault="00BB4D79" w:rsidP="00BB4D79">
      <w:pPr>
        <w:pStyle w:val="NormalWeb"/>
      </w:pPr>
      <w:r w:rsidRPr="00C03DEC">
        <w:rPr>
          <w:rStyle w:val="lev"/>
        </w:rPr>
        <w:t>Martine Francisco – médecin urgentiste à la clinique Claude Bernard à Eaubonne</w:t>
      </w:r>
    </w:p>
    <w:p w14:paraId="49BA759E" w14:textId="24BEFB05" w:rsidR="00BB4D79" w:rsidRPr="00C03DEC" w:rsidRDefault="00BB4D79" w:rsidP="00BB4D79">
      <w:pPr>
        <w:pStyle w:val="NormalWeb"/>
        <w:rPr>
          <w:b/>
          <w:bCs/>
        </w:rPr>
      </w:pPr>
      <w:r w:rsidRPr="00C03DEC">
        <w:t xml:space="preserve">Sa mission au sein du Conseil de l’Ordre départemental : améliorer la permanence des soins ambulatoire (PDSA), enjeu crucial s’il en est. En effet, après la mobilisation impulsée par la crise sanitaire en 2020, le taux de participation global des médecins généralistes à la PDSA est reparti à la baisse et le nombre de territoires couverts continue de diminuer*. </w:t>
      </w:r>
      <w:proofErr w:type="gramStart"/>
      <w:r w:rsidRPr="00C03DEC">
        <w:t>«Les</w:t>
      </w:r>
      <w:proofErr w:type="gramEnd"/>
      <w:r w:rsidRPr="00C03DEC">
        <w:t xml:space="preserve"> praticiens </w:t>
      </w:r>
      <w:r w:rsidR="00565638">
        <w:t>préfèrent ne pas</w:t>
      </w:r>
      <w:r w:rsidRPr="00C03DEC">
        <w:t xml:space="preserve"> sacrifier week-end et soirées, enchaîner des gardes après une journée de travail ou se déplacer au domicile des malades. Et la pénurie de médecins conduit les patients à recourir aux services d’urgences, faute d’offre de soins suffisante en ville. » résume le Dr Martine Francisco, qui parle d’expérience. Praticienne à la clinique Claude Bernard d’Eaubonne, elle y a créé un service de consultations non programmées il y a trente ans. Ce service accueillait à ses débuts 3 patients par jour, contre 120 actuellement. </w:t>
      </w:r>
      <w:proofErr w:type="gramStart"/>
      <w:r w:rsidRPr="00C03DEC">
        <w:t>«Aux</w:t>
      </w:r>
      <w:proofErr w:type="gramEnd"/>
      <w:r w:rsidRPr="00C03DEC">
        <w:t xml:space="preserve"> urgences plus l’offre existe, plus la demande augmente. Mais je suis convaincue que la situation s’améliorer</w:t>
      </w:r>
      <w:r w:rsidR="00C03DEC" w:rsidRPr="00C03DEC">
        <w:t>a</w:t>
      </w:r>
      <w:r w:rsidRPr="00C03DEC">
        <w:t xml:space="preserve"> en articulant mieux la régulation du Samu, le service des pompiers, les cliniques, les hôpitaux et les médecins qui effectuent des gardes en ville. Il reste notamment à dépasser les clivages privé/public pour construire des dialogues apaisés par le biais de rencontres, de commissions ciblées</w:t>
      </w:r>
      <w:proofErr w:type="gramStart"/>
      <w:r w:rsidRPr="00C03DEC">
        <w:t>.»</w:t>
      </w:r>
      <w:proofErr w:type="gramEnd"/>
      <w:r w:rsidRPr="00C03DEC">
        <w:t xml:space="preserve"> assure le Dr Francisco, qui souligne que l’argent reste « un nerf de la guerre », même si les indemnités proposées aux médecins de garde se sont étoffées en fonction des territoires, des plages horaires. </w:t>
      </w:r>
      <w:r w:rsidR="00E262BC" w:rsidRPr="00C03DEC">
        <w:t>Sur un plan plus personnel, l</w:t>
      </w:r>
      <w:r w:rsidRPr="00C03DEC">
        <w:rPr>
          <w:rStyle w:val="lev"/>
          <w:b w:val="0"/>
          <w:bCs w:val="0"/>
        </w:rPr>
        <w:t xml:space="preserve">es deux années de pandémie, </w:t>
      </w:r>
      <w:r w:rsidR="00013ACD" w:rsidRPr="00C03DEC">
        <w:rPr>
          <w:rStyle w:val="lev"/>
          <w:b w:val="0"/>
          <w:bCs w:val="0"/>
        </w:rPr>
        <w:t xml:space="preserve">particulièrement </w:t>
      </w:r>
      <w:r w:rsidRPr="00C03DEC">
        <w:rPr>
          <w:rStyle w:val="lev"/>
          <w:b w:val="0"/>
          <w:bCs w:val="0"/>
        </w:rPr>
        <w:t>éprouvantes</w:t>
      </w:r>
      <w:r w:rsidR="00013ACD" w:rsidRPr="00C03DEC">
        <w:rPr>
          <w:rStyle w:val="lev"/>
          <w:b w:val="0"/>
          <w:bCs w:val="0"/>
        </w:rPr>
        <w:t xml:space="preserve"> aux urgences</w:t>
      </w:r>
      <w:r w:rsidRPr="00C03DEC">
        <w:rPr>
          <w:rStyle w:val="lev"/>
          <w:b w:val="0"/>
          <w:bCs w:val="0"/>
        </w:rPr>
        <w:t>, lui donnent aussi plus que jamais envie de souffler, de se ressourcer en lisant et en randonnant.</w:t>
      </w:r>
      <w:r w:rsidRPr="00C03DEC">
        <w:rPr>
          <w:b/>
          <w:bCs/>
        </w:rPr>
        <w:t xml:space="preserve"> </w:t>
      </w:r>
    </w:p>
    <w:p w14:paraId="5C8EB534" w14:textId="251D818A" w:rsidR="00BB4D79" w:rsidRPr="00C03DEC" w:rsidRDefault="00BB4D79" w:rsidP="00BB4D79">
      <w:pPr>
        <w:pStyle w:val="NormalWeb"/>
        <w:rPr>
          <w:b/>
          <w:bCs/>
        </w:rPr>
      </w:pPr>
      <w:r w:rsidRPr="00C03DEC">
        <w:rPr>
          <w:rStyle w:val="lev"/>
        </w:rPr>
        <w:lastRenderedPageBreak/>
        <w:t xml:space="preserve">* </w:t>
      </w:r>
      <w:hyperlink r:id="rId5" w:tgtFrame="_blank" w:history="1">
        <w:r w:rsidRPr="00C03DEC">
          <w:rPr>
            <w:rStyle w:val="Lienhypertexte"/>
            <w:b/>
            <w:bCs/>
          </w:rPr>
          <w:t>https://www.conseil-national.medecin.fr/publications/communiques-presse/bilan-permanence-soins-2021</w:t>
        </w:r>
      </w:hyperlink>
    </w:p>
    <w:p w14:paraId="544E3570" w14:textId="77777777" w:rsidR="00BB4D79" w:rsidRPr="00C03DEC" w:rsidRDefault="00BB4D79" w:rsidP="00BB4D79">
      <w:pPr>
        <w:pStyle w:val="NormalWeb"/>
      </w:pPr>
      <w:r w:rsidRPr="00C03DEC">
        <w:rPr>
          <w:rStyle w:val="lev"/>
        </w:rPr>
        <w:t xml:space="preserve">S’INSTALLER MODE D’EMPLOI </w:t>
      </w:r>
    </w:p>
    <w:p w14:paraId="5764F86E" w14:textId="77777777" w:rsidR="00BB4D79" w:rsidRPr="00C03DEC" w:rsidRDefault="00BB4D79" w:rsidP="00BB4D79">
      <w:pPr>
        <w:pStyle w:val="NormalWeb"/>
      </w:pPr>
      <w:r w:rsidRPr="00C03DEC">
        <w:rPr>
          <w:rStyle w:val="lev"/>
        </w:rPr>
        <w:t xml:space="preserve">La Société Civile de Moyens </w:t>
      </w:r>
    </w:p>
    <w:p w14:paraId="579B7FA2" w14:textId="77777777" w:rsidR="00BB4D79" w:rsidRPr="00C03DEC" w:rsidRDefault="00BB4D79" w:rsidP="00BB4D79">
      <w:pPr>
        <w:pStyle w:val="NormalWeb"/>
      </w:pPr>
      <w:r w:rsidRPr="00C03DEC">
        <w:t>La SCM permet à des associés de même spécialité ou non de partager des frais, tout en conservant des honoraires et une patientèle propre. Seuls les médecins et paramédicaux reconnus par leur ordre peuvent devenir associés. Les psychologues et ostéopathes qui ne sont ni médecin ni kinésithérapeute ne peuvent y accéder.</w:t>
      </w:r>
    </w:p>
    <w:p w14:paraId="037C445E" w14:textId="77777777" w:rsidR="00BB4D79" w:rsidRPr="00C03DEC" w:rsidRDefault="00BB4D79" w:rsidP="00BB4D79">
      <w:pPr>
        <w:pStyle w:val="NormalWeb"/>
      </w:pPr>
      <w:r w:rsidRPr="00C03DEC">
        <w:rPr>
          <w:rStyle w:val="lev"/>
        </w:rPr>
        <w:t>Les moyens mutualisés</w:t>
      </w:r>
      <w:r w:rsidRPr="00C03DEC">
        <w:t xml:space="preserve"> sont les consommables, les locaux, les assurances des locaux et leur entretien, le personnel engagé (secrétaires, ménage…). Le reversement à la SCM s’effectue chaque mois selon une clef de répartition fixée par un contrat type du CNOM. Mais il paraît difficile d’estimer initialement la consommation de chacun.  Par exemple, il est possible de prévoir pour deux médecins que le loyer l’assurance et le chauffage soient divisés en deux et que la répartition des consommables du secrétariat s’effectue au prorata des actes. Ces décisions sont prises au cours d’une Assemblée Générale qui a lieu au moins une fois par an.</w:t>
      </w:r>
    </w:p>
    <w:p w14:paraId="51578DCF" w14:textId="77777777" w:rsidR="00BB4D79" w:rsidRPr="00C03DEC" w:rsidRDefault="00BB4D79" w:rsidP="00BB4D79">
      <w:pPr>
        <w:pStyle w:val="NormalWeb"/>
      </w:pPr>
      <w:r w:rsidRPr="00C03DEC">
        <w:rPr>
          <w:rStyle w:val="lev"/>
        </w:rPr>
        <w:t>Pour éviter les différends</w:t>
      </w:r>
      <w:r w:rsidRPr="00C03DEC">
        <w:t>, l’obligation de conciliation doit figurer dans les statuts. Une clause de non-concurrence n’est pas à envisager. Enfin et surtout, un associé pouvant légalement sortir de la SCM à tout moment, il est recommandé de prévoir un préavis d’au moins six mois pour retrouver un nouvel associé, sans quoi le loyer deviendra une lourde charge pour les associés restants…</w:t>
      </w:r>
    </w:p>
    <w:p w14:paraId="191455EA" w14:textId="2F1AC412" w:rsidR="00BB4D79" w:rsidRDefault="00BB4D79" w:rsidP="00BB4D79">
      <w:pPr>
        <w:pStyle w:val="NormalWeb"/>
      </w:pPr>
      <w:r w:rsidRPr="00C03DEC">
        <w:t xml:space="preserve">Dr Xavier </w:t>
      </w:r>
      <w:proofErr w:type="spellStart"/>
      <w:r w:rsidRPr="00C03DEC">
        <w:t>Rigaut</w:t>
      </w:r>
      <w:proofErr w:type="spellEnd"/>
    </w:p>
    <w:p w14:paraId="30E0AA0D" w14:textId="77777777" w:rsidR="00C03DEC" w:rsidRPr="00C03DEC" w:rsidRDefault="00C03DEC" w:rsidP="00BB4D79">
      <w:pPr>
        <w:pStyle w:val="NormalWeb"/>
      </w:pPr>
    </w:p>
    <w:p w14:paraId="30971FBD" w14:textId="0801B4B0" w:rsidR="00BB4D79" w:rsidRPr="00C03DEC" w:rsidRDefault="00BB4D79" w:rsidP="00BB4D79">
      <w:pPr>
        <w:pStyle w:val="NormalWeb"/>
        <w:rPr>
          <w:b/>
          <w:bCs/>
        </w:rPr>
      </w:pPr>
      <w:r w:rsidRPr="00C03DEC">
        <w:rPr>
          <w:b/>
          <w:bCs/>
        </w:rPr>
        <w:t>MAGAZINE</w:t>
      </w:r>
    </w:p>
    <w:p w14:paraId="679AA4F0" w14:textId="77777777" w:rsidR="00013ACD" w:rsidRPr="00C03DEC" w:rsidRDefault="00013ACD" w:rsidP="00013ACD">
      <w:pPr>
        <w:jc w:val="both"/>
        <w:rPr>
          <w:rFonts w:ascii="Times New Roman" w:hAnsi="Times New Roman" w:cs="Times New Roman"/>
          <w:b/>
          <w:bCs/>
          <w:sz w:val="24"/>
          <w:szCs w:val="24"/>
        </w:rPr>
      </w:pPr>
      <w:r w:rsidRPr="00C03DEC">
        <w:rPr>
          <w:rFonts w:ascii="Times New Roman" w:hAnsi="Times New Roman" w:cs="Times New Roman"/>
          <w:b/>
          <w:bCs/>
          <w:sz w:val="24"/>
          <w:szCs w:val="24"/>
        </w:rPr>
        <w:t>Développement Professionnel Continu : l’échéance approche</w:t>
      </w:r>
    </w:p>
    <w:p w14:paraId="32B68C4A" w14:textId="77777777" w:rsidR="00013ACD" w:rsidRPr="00C03DEC" w:rsidRDefault="00013ACD" w:rsidP="00013ACD">
      <w:pPr>
        <w:jc w:val="both"/>
        <w:rPr>
          <w:rFonts w:ascii="Times New Roman" w:hAnsi="Times New Roman" w:cs="Times New Roman"/>
          <w:b/>
          <w:bCs/>
          <w:sz w:val="24"/>
          <w:szCs w:val="24"/>
        </w:rPr>
      </w:pPr>
      <w:r w:rsidRPr="00C03DEC">
        <w:rPr>
          <w:rFonts w:ascii="Times New Roman" w:hAnsi="Times New Roman" w:cs="Times New Roman"/>
          <w:b/>
          <w:bCs/>
          <w:sz w:val="24"/>
          <w:szCs w:val="24"/>
        </w:rPr>
        <w:t xml:space="preserve">Le 31 décembre 2022 prendra fin la période triennale de formation obligatoire pour tous les médecins en exercice. </w:t>
      </w:r>
    </w:p>
    <w:p w14:paraId="2030CB73" w14:textId="77777777" w:rsidR="00013ACD" w:rsidRPr="00C03DEC" w:rsidRDefault="00013ACD" w:rsidP="00013ACD">
      <w:pPr>
        <w:jc w:val="both"/>
        <w:rPr>
          <w:rStyle w:val="lev"/>
          <w:rFonts w:ascii="Times New Roman" w:hAnsi="Times New Roman" w:cs="Times New Roman"/>
          <w:b w:val="0"/>
          <w:bCs w:val="0"/>
          <w:sz w:val="24"/>
          <w:szCs w:val="24"/>
        </w:rPr>
      </w:pPr>
      <w:r w:rsidRPr="00C03DEC">
        <w:rPr>
          <w:rFonts w:ascii="Times New Roman" w:hAnsi="Times New Roman" w:cs="Times New Roman"/>
          <w:sz w:val="24"/>
          <w:szCs w:val="24"/>
        </w:rPr>
        <w:t xml:space="preserve">Chaque médecin doit justifier, sur une période de trois ans, de son engagement dans une démarche de DPC. </w:t>
      </w:r>
      <w:r w:rsidRPr="00C03DEC">
        <w:rPr>
          <w:rStyle w:val="lev"/>
          <w:rFonts w:ascii="Times New Roman" w:hAnsi="Times New Roman" w:cs="Times New Roman"/>
          <w:b w:val="0"/>
          <w:bCs w:val="0"/>
          <w:sz w:val="24"/>
          <w:szCs w:val="24"/>
        </w:rPr>
        <w:t>L’Agence nationale du DPC (</w:t>
      </w:r>
      <w:hyperlink r:id="rId6" w:history="1">
        <w:r w:rsidRPr="00C03DEC">
          <w:rPr>
            <w:rStyle w:val="Lienhypertexte"/>
            <w:rFonts w:ascii="Times New Roman" w:hAnsi="Times New Roman" w:cs="Times New Roman"/>
            <w:sz w:val="24"/>
            <w:szCs w:val="24"/>
          </w:rPr>
          <w:t>www.mondpc.com</w:t>
        </w:r>
      </w:hyperlink>
      <w:r w:rsidRPr="00C03DEC">
        <w:rPr>
          <w:rStyle w:val="lev"/>
          <w:rFonts w:ascii="Times New Roman" w:hAnsi="Times New Roman" w:cs="Times New Roman"/>
          <w:b w:val="0"/>
          <w:bCs w:val="0"/>
          <w:sz w:val="24"/>
          <w:szCs w:val="24"/>
        </w:rPr>
        <w:t xml:space="preserve">) prend celle-ci en charge pour les professionnels de santé libéraux conventionnés et salariés des centres de santé conventionnés. Dès janvier 2023, cette démarche de mise à niveau professionnelle deviendra un élément-clé pour l’obtention de la Certification Périodique. </w:t>
      </w:r>
    </w:p>
    <w:p w14:paraId="0AF9C915" w14:textId="77777777" w:rsidR="00013ACD" w:rsidRPr="00C03DEC" w:rsidRDefault="00013ACD" w:rsidP="00013ACD">
      <w:pPr>
        <w:jc w:val="both"/>
        <w:rPr>
          <w:rStyle w:val="lev"/>
          <w:rFonts w:ascii="Times New Roman" w:hAnsi="Times New Roman" w:cs="Times New Roman"/>
          <w:b w:val="0"/>
          <w:bCs w:val="0"/>
          <w:sz w:val="24"/>
          <w:szCs w:val="24"/>
        </w:rPr>
      </w:pPr>
      <w:r w:rsidRPr="00C03DEC">
        <w:rPr>
          <w:rStyle w:val="lev"/>
          <w:rFonts w:ascii="Times New Roman" w:hAnsi="Times New Roman" w:cs="Times New Roman"/>
          <w:b w:val="0"/>
          <w:bCs w:val="0"/>
          <w:sz w:val="24"/>
          <w:szCs w:val="24"/>
        </w:rPr>
        <w:t>Trois contenus s’offrent au praticien, qui doit en effectuer deux durant la période triennale :</w:t>
      </w:r>
    </w:p>
    <w:p w14:paraId="2BA3D6FD" w14:textId="77777777" w:rsidR="00013ACD" w:rsidRPr="00C03DEC" w:rsidRDefault="00013ACD" w:rsidP="00013ACD">
      <w:pPr>
        <w:jc w:val="both"/>
        <w:rPr>
          <w:rStyle w:val="lev"/>
          <w:rFonts w:ascii="Times New Roman" w:hAnsi="Times New Roman" w:cs="Times New Roman"/>
          <w:b w:val="0"/>
          <w:bCs w:val="0"/>
          <w:sz w:val="24"/>
          <w:szCs w:val="24"/>
        </w:rPr>
      </w:pPr>
      <w:r w:rsidRPr="00C03DEC">
        <w:rPr>
          <w:rStyle w:val="lev"/>
          <w:rFonts w:ascii="Times New Roman" w:hAnsi="Times New Roman" w:cs="Times New Roman"/>
          <w:b w:val="0"/>
          <w:bCs w:val="0"/>
          <w:sz w:val="24"/>
          <w:szCs w:val="24"/>
        </w:rPr>
        <w:t>- Les formations classiques d’approfondissement des connaissances</w:t>
      </w:r>
    </w:p>
    <w:p w14:paraId="477B6FC4" w14:textId="1A05DCBE" w:rsidR="00013ACD" w:rsidRPr="00C03DEC" w:rsidRDefault="00013ACD" w:rsidP="00013ACD">
      <w:pPr>
        <w:jc w:val="both"/>
        <w:rPr>
          <w:rStyle w:val="lev"/>
          <w:rFonts w:ascii="Times New Roman" w:hAnsi="Times New Roman" w:cs="Times New Roman"/>
          <w:b w:val="0"/>
          <w:bCs w:val="0"/>
          <w:sz w:val="24"/>
          <w:szCs w:val="24"/>
        </w:rPr>
      </w:pPr>
      <w:r w:rsidRPr="00C03DEC">
        <w:rPr>
          <w:rStyle w:val="lev"/>
          <w:rFonts w:ascii="Times New Roman" w:hAnsi="Times New Roman" w:cs="Times New Roman"/>
          <w:b w:val="0"/>
          <w:bCs w:val="0"/>
          <w:sz w:val="24"/>
          <w:szCs w:val="24"/>
        </w:rPr>
        <w:t xml:space="preserve">- L’évaluation des pratiques entre pairs </w:t>
      </w:r>
    </w:p>
    <w:p w14:paraId="657B9375" w14:textId="77777777" w:rsidR="00013ACD" w:rsidRPr="00C03DEC" w:rsidRDefault="00013ACD" w:rsidP="00013ACD">
      <w:pPr>
        <w:jc w:val="both"/>
        <w:rPr>
          <w:rFonts w:ascii="Times New Roman" w:hAnsi="Times New Roman" w:cs="Times New Roman"/>
          <w:sz w:val="24"/>
          <w:szCs w:val="24"/>
        </w:rPr>
      </w:pPr>
      <w:r w:rsidRPr="00C03DEC">
        <w:rPr>
          <w:rStyle w:val="lev"/>
          <w:rFonts w:ascii="Times New Roman" w:hAnsi="Times New Roman" w:cs="Times New Roman"/>
          <w:b w:val="0"/>
          <w:bCs w:val="0"/>
          <w:sz w:val="24"/>
          <w:szCs w:val="24"/>
        </w:rPr>
        <w:t xml:space="preserve">- La gestion des risques </w:t>
      </w:r>
      <w:r w:rsidRPr="00C03DEC">
        <w:rPr>
          <w:rFonts w:ascii="Times New Roman" w:hAnsi="Times New Roman" w:cs="Times New Roman"/>
          <w:sz w:val="24"/>
          <w:szCs w:val="24"/>
        </w:rPr>
        <w:t xml:space="preserve">visant à identifier, évaluer et prioriser les situations à risque ou d’urgence. </w:t>
      </w:r>
    </w:p>
    <w:p w14:paraId="50D4E6DD" w14:textId="77777777" w:rsidR="00013ACD" w:rsidRPr="00C03DEC" w:rsidRDefault="00013ACD" w:rsidP="00013ACD">
      <w:pPr>
        <w:jc w:val="both"/>
        <w:rPr>
          <w:rFonts w:ascii="Times New Roman" w:hAnsi="Times New Roman" w:cs="Times New Roman"/>
          <w:sz w:val="24"/>
          <w:szCs w:val="24"/>
        </w:rPr>
      </w:pPr>
      <w:r w:rsidRPr="00C03DEC">
        <w:rPr>
          <w:rFonts w:ascii="Times New Roman" w:hAnsi="Times New Roman" w:cs="Times New Roman"/>
          <w:b/>
          <w:bCs/>
          <w:sz w:val="24"/>
          <w:szCs w:val="24"/>
        </w:rPr>
        <w:lastRenderedPageBreak/>
        <w:t>Parcours fixe ou à la carte</w:t>
      </w:r>
      <w:r w:rsidRPr="00C03DEC">
        <w:rPr>
          <w:rFonts w:ascii="Times New Roman" w:hAnsi="Times New Roman" w:cs="Times New Roman"/>
          <w:sz w:val="24"/>
          <w:szCs w:val="24"/>
        </w:rPr>
        <w:t xml:space="preserve"> : Pour effectuer sa formation continue, le praticien a le choix entre le parcours fixe, clé en main que dispensent les CNP et le Collège de Médecine Générale, et le parcours à la carte. Ce dernier, bien adapté aux besoins des médecins libéraux, permet de choisir ses options auprès de l’OGPC, à faire valider par le Conseil de l’Ordre. </w:t>
      </w:r>
    </w:p>
    <w:p w14:paraId="12A993B0" w14:textId="2A513152" w:rsidR="00013ACD" w:rsidRPr="00C03DEC" w:rsidRDefault="00013ACD" w:rsidP="00013ACD">
      <w:pPr>
        <w:jc w:val="both"/>
        <w:rPr>
          <w:rFonts w:ascii="Times New Roman" w:hAnsi="Times New Roman" w:cs="Times New Roman"/>
          <w:sz w:val="24"/>
          <w:szCs w:val="24"/>
        </w:rPr>
      </w:pPr>
      <w:r w:rsidRPr="00C03DEC">
        <w:rPr>
          <w:rFonts w:ascii="Times New Roman" w:hAnsi="Times New Roman" w:cs="Times New Roman"/>
          <w:b/>
          <w:bCs/>
          <w:sz w:val="24"/>
          <w:szCs w:val="24"/>
        </w:rPr>
        <w:t>Prise en charge</w:t>
      </w:r>
      <w:r w:rsidRPr="00C03DEC">
        <w:rPr>
          <w:rFonts w:ascii="Times New Roman" w:hAnsi="Times New Roman" w:cs="Times New Roman"/>
          <w:sz w:val="24"/>
          <w:szCs w:val="24"/>
        </w:rPr>
        <w:t xml:space="preserve"> : chaque praticien est tenu d’effectuer 21H de formation annuelle. Pour les médecins libéraux, les formations sont remboursées par la Caisse d’Assurance Maladie à hauteur de 45€/H en présentiel et 22,50€/H en e-learning. Pour les médecins salariés, c’est l’employeur (hôpital, PMI, </w:t>
      </w:r>
      <w:proofErr w:type="spellStart"/>
      <w:r w:rsidRPr="00C03DEC">
        <w:rPr>
          <w:rFonts w:ascii="Times New Roman" w:hAnsi="Times New Roman" w:cs="Times New Roman"/>
          <w:sz w:val="24"/>
          <w:szCs w:val="24"/>
        </w:rPr>
        <w:t>etc</w:t>
      </w:r>
      <w:proofErr w:type="spellEnd"/>
      <w:r w:rsidRPr="00C03DEC">
        <w:rPr>
          <w:rFonts w:ascii="Times New Roman" w:hAnsi="Times New Roman" w:cs="Times New Roman"/>
          <w:sz w:val="24"/>
          <w:szCs w:val="24"/>
        </w:rPr>
        <w:t xml:space="preserve">) qui valide et prend en charge le DPC qui s’effectue sur les heures de travail. Il reste à résoudre la situation des médecins remplaçants </w:t>
      </w:r>
      <w:r w:rsidR="00565638">
        <w:rPr>
          <w:rFonts w:ascii="Times New Roman" w:hAnsi="Times New Roman" w:cs="Times New Roman"/>
          <w:sz w:val="24"/>
          <w:szCs w:val="24"/>
        </w:rPr>
        <w:t>non</w:t>
      </w:r>
      <w:r w:rsidRPr="00C03DEC">
        <w:rPr>
          <w:rFonts w:ascii="Times New Roman" w:hAnsi="Times New Roman" w:cs="Times New Roman"/>
          <w:sz w:val="24"/>
          <w:szCs w:val="24"/>
        </w:rPr>
        <w:t xml:space="preserve"> conventionnés, pour qui le DPC est obligatoire mais actuellement </w:t>
      </w:r>
      <w:r w:rsidR="00565638">
        <w:rPr>
          <w:rFonts w:ascii="Times New Roman" w:hAnsi="Times New Roman" w:cs="Times New Roman"/>
          <w:sz w:val="24"/>
          <w:szCs w:val="24"/>
        </w:rPr>
        <w:t>non</w:t>
      </w:r>
      <w:r w:rsidRPr="00C03DEC">
        <w:rPr>
          <w:rFonts w:ascii="Times New Roman" w:hAnsi="Times New Roman" w:cs="Times New Roman"/>
          <w:sz w:val="24"/>
          <w:szCs w:val="24"/>
        </w:rPr>
        <w:t xml:space="preserve"> pris en charge. </w:t>
      </w:r>
    </w:p>
    <w:p w14:paraId="0E9393E4" w14:textId="77777777" w:rsidR="00013ACD" w:rsidRPr="00C03DEC" w:rsidRDefault="00013ACD" w:rsidP="00013ACD">
      <w:pPr>
        <w:jc w:val="both"/>
        <w:rPr>
          <w:rFonts w:ascii="Times New Roman" w:hAnsi="Times New Roman" w:cs="Times New Roman"/>
          <w:sz w:val="24"/>
          <w:szCs w:val="24"/>
        </w:rPr>
      </w:pPr>
      <w:r w:rsidRPr="00C03DEC">
        <w:rPr>
          <w:rFonts w:ascii="Times New Roman" w:hAnsi="Times New Roman" w:cs="Times New Roman"/>
          <w:sz w:val="24"/>
          <w:szCs w:val="24"/>
        </w:rPr>
        <w:t xml:space="preserve">Avec le Dr Bernard </w:t>
      </w:r>
      <w:proofErr w:type="spellStart"/>
      <w:r w:rsidRPr="00C03DEC">
        <w:rPr>
          <w:rFonts w:ascii="Times New Roman" w:hAnsi="Times New Roman" w:cs="Times New Roman"/>
          <w:sz w:val="24"/>
          <w:szCs w:val="24"/>
        </w:rPr>
        <w:t>Poletto</w:t>
      </w:r>
      <w:proofErr w:type="spellEnd"/>
    </w:p>
    <w:p w14:paraId="447D88B9" w14:textId="77777777" w:rsidR="00013ACD" w:rsidRDefault="00013ACD" w:rsidP="00BB4D79">
      <w:pPr>
        <w:pStyle w:val="NormalWeb"/>
      </w:pPr>
    </w:p>
    <w:p w14:paraId="46A46996" w14:textId="77777777" w:rsidR="00BB4D79" w:rsidRPr="00BB4D79" w:rsidRDefault="00BB4D79" w:rsidP="00BB4D79">
      <w:pPr>
        <w:rPr>
          <w:b/>
          <w:bCs/>
        </w:rPr>
      </w:pPr>
    </w:p>
    <w:p w14:paraId="7C5CF4D9" w14:textId="77777777" w:rsidR="005B3E36" w:rsidRDefault="005B3E36"/>
    <w:sectPr w:rsidR="005B3E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0A1EE5"/>
    <w:multiLevelType w:val="hybridMultilevel"/>
    <w:tmpl w:val="970082AE"/>
    <w:lvl w:ilvl="0" w:tplc="5C22F08A">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16cid:durableId="13369999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D79"/>
    <w:rsid w:val="00013ACD"/>
    <w:rsid w:val="002946B4"/>
    <w:rsid w:val="00565638"/>
    <w:rsid w:val="005B3E36"/>
    <w:rsid w:val="00BB4D79"/>
    <w:rsid w:val="00C03DEC"/>
    <w:rsid w:val="00E262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E7267"/>
  <w15:chartTrackingRefBased/>
  <w15:docId w15:val="{F649BA4E-D97C-4BF4-958E-2714109AF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D79"/>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B4D79"/>
    <w:pPr>
      <w:spacing w:after="0" w:line="240" w:lineRule="auto"/>
      <w:ind w:left="720"/>
      <w:contextualSpacing/>
    </w:pPr>
    <w:rPr>
      <w:rFonts w:eastAsiaTheme="minorEastAsia"/>
      <w:sz w:val="24"/>
      <w:szCs w:val="24"/>
      <w:lang w:eastAsia="fr-FR"/>
    </w:rPr>
  </w:style>
  <w:style w:type="paragraph" w:customStyle="1" w:styleId="ox-827c09c1bc-elementtoproof">
    <w:name w:val="ox-827c09c1bc-elementtoproof"/>
    <w:basedOn w:val="Normal"/>
    <w:rsid w:val="00BB4D7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unhideWhenUsed/>
    <w:rsid w:val="00BB4D7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BB4D79"/>
    <w:rPr>
      <w:b/>
      <w:bCs/>
    </w:rPr>
  </w:style>
  <w:style w:type="character" w:styleId="Lienhypertexte">
    <w:name w:val="Hyperlink"/>
    <w:basedOn w:val="Policepardfaut"/>
    <w:uiPriority w:val="99"/>
    <w:semiHidden/>
    <w:unhideWhenUsed/>
    <w:rsid w:val="00BB4D7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17450">
      <w:bodyDiv w:val="1"/>
      <w:marLeft w:val="0"/>
      <w:marRight w:val="0"/>
      <w:marTop w:val="0"/>
      <w:marBottom w:val="0"/>
      <w:divBdr>
        <w:top w:val="none" w:sz="0" w:space="0" w:color="auto"/>
        <w:left w:val="none" w:sz="0" w:space="0" w:color="auto"/>
        <w:bottom w:val="none" w:sz="0" w:space="0" w:color="auto"/>
        <w:right w:val="none" w:sz="0" w:space="0" w:color="auto"/>
      </w:divBdr>
    </w:div>
    <w:div w:id="270865201">
      <w:bodyDiv w:val="1"/>
      <w:marLeft w:val="0"/>
      <w:marRight w:val="0"/>
      <w:marTop w:val="0"/>
      <w:marBottom w:val="0"/>
      <w:divBdr>
        <w:top w:val="none" w:sz="0" w:space="0" w:color="auto"/>
        <w:left w:val="none" w:sz="0" w:space="0" w:color="auto"/>
        <w:bottom w:val="none" w:sz="0" w:space="0" w:color="auto"/>
        <w:right w:val="none" w:sz="0" w:space="0" w:color="auto"/>
      </w:divBdr>
    </w:div>
    <w:div w:id="562836104">
      <w:bodyDiv w:val="1"/>
      <w:marLeft w:val="0"/>
      <w:marRight w:val="0"/>
      <w:marTop w:val="0"/>
      <w:marBottom w:val="0"/>
      <w:divBdr>
        <w:top w:val="none" w:sz="0" w:space="0" w:color="auto"/>
        <w:left w:val="none" w:sz="0" w:space="0" w:color="auto"/>
        <w:bottom w:val="none" w:sz="0" w:space="0" w:color="auto"/>
        <w:right w:val="none" w:sz="0" w:space="0" w:color="auto"/>
      </w:divBdr>
    </w:div>
    <w:div w:id="651642573">
      <w:bodyDiv w:val="1"/>
      <w:marLeft w:val="0"/>
      <w:marRight w:val="0"/>
      <w:marTop w:val="0"/>
      <w:marBottom w:val="0"/>
      <w:divBdr>
        <w:top w:val="none" w:sz="0" w:space="0" w:color="auto"/>
        <w:left w:val="none" w:sz="0" w:space="0" w:color="auto"/>
        <w:bottom w:val="none" w:sz="0" w:space="0" w:color="auto"/>
        <w:right w:val="none" w:sz="0" w:space="0" w:color="auto"/>
      </w:divBdr>
    </w:div>
    <w:div w:id="81252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ondpc.com" TargetMode="External"/><Relationship Id="rId5" Type="http://schemas.openxmlformats.org/officeDocument/2006/relationships/hyperlink" Target="https://www.conseil-national.medecin.fr/publications/communiques-presse/bilan-permanence-soins-2021"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1477</Words>
  <Characters>8125</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chahine</dc:creator>
  <cp:keywords/>
  <dc:description/>
  <cp:lastModifiedBy>nathalie chahine</cp:lastModifiedBy>
  <cp:revision>3</cp:revision>
  <dcterms:created xsi:type="dcterms:W3CDTF">2022-05-05T09:24:00Z</dcterms:created>
  <dcterms:modified xsi:type="dcterms:W3CDTF">2022-05-18T14:45:00Z</dcterms:modified>
</cp:coreProperties>
</file>